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403" w:rsidRDefault="00E57A3A" w:rsidP="002B0A97">
      <w:pPr>
        <w:pStyle w:val="a8"/>
        <w:rPr>
          <w:noProof/>
          <w:sz w:val="32"/>
          <w:szCs w:val="32"/>
        </w:rPr>
      </w:pPr>
      <w:r w:rsidRPr="00D94200">
        <w:rPr>
          <w:noProof/>
          <w:sz w:val="20"/>
          <w:szCs w:val="20"/>
        </w:rPr>
        <w:drawing>
          <wp:inline distT="0" distB="0" distL="0" distR="0" wp14:anchorId="607ECD0C" wp14:editId="7B8D3958">
            <wp:extent cx="320040" cy="299612"/>
            <wp:effectExtent l="0" t="0" r="3810" b="5715"/>
            <wp:docPr id="2" name="Рисунок 2" descr="H:\Методологи\ФилеваОЛ\Сервисы МГП исходники\Иконки сервисов 2025\двухцветные фон голубой\png\Подбор работы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Методологи\ФилеваОЛ\Сервисы МГП исходники\Иконки сервисов 2025\двухцветные фон голубой\png\Подбор работы@2x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99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6F40">
        <w:rPr>
          <w:noProof/>
        </w:rPr>
        <w:t xml:space="preserve">  </w:t>
      </w:r>
      <w:r w:rsidRPr="00D94200">
        <w:rPr>
          <w:noProof/>
          <w:sz w:val="20"/>
          <w:szCs w:val="20"/>
        </w:rPr>
        <w:drawing>
          <wp:inline distT="0" distB="0" distL="0" distR="0" wp14:anchorId="6F5E6A14" wp14:editId="141882AB">
            <wp:extent cx="329071" cy="335280"/>
            <wp:effectExtent l="0" t="0" r="0" b="7620"/>
            <wp:docPr id="3" name="Рисунок 3" descr="H:\Методологи\ФилеваОЛ\Сервисы МГП исходники\Иконки сервисов 2025\двухцветные фон голубой\png\Навыки предпринимателя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Методологи\ФилеваОЛ\Сервисы МГП исходники\Иконки сервисов 2025\двухцветные фон голубой\png\Навыки предпринимателя@2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71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6F40">
        <w:rPr>
          <w:noProof/>
        </w:rPr>
        <w:t xml:space="preserve">  </w:t>
      </w:r>
      <w:r w:rsidR="007951FC">
        <w:rPr>
          <w:noProof/>
        </w:rPr>
        <w:drawing>
          <wp:inline distT="0" distB="0" distL="0" distR="0" wp14:anchorId="58C0F014" wp14:editId="7CC70FC5">
            <wp:extent cx="310688" cy="297180"/>
            <wp:effectExtent l="0" t="0" r="0" b="7620"/>
            <wp:docPr id="5" name="Рисунок 5" descr="H:\Методологи\ФилеваОЛ\Сервисы МГП исходники\Иконки сервисов 2025\двухцветные фон голубой\png\Профессиональная консультация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Методологи\ФилеваОЛ\Сервисы МГП исходники\Иконки сервисов 2025\двухцветные фон голубой\png\Профессиональная консультация@2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88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6F40">
        <w:rPr>
          <w:noProof/>
        </w:rPr>
        <w:t xml:space="preserve"> </w:t>
      </w:r>
      <w:r w:rsidR="004C30B5">
        <w:rPr>
          <w:noProof/>
        </w:rPr>
        <w:drawing>
          <wp:inline distT="0" distB="0" distL="0" distR="0" wp14:anchorId="7BB4F6F8" wp14:editId="6873726A">
            <wp:extent cx="373380" cy="311150"/>
            <wp:effectExtent l="0" t="0" r="7620" b="0"/>
            <wp:docPr id="6" name="Рисунок 6" descr="H:\Методологи\ФилеваОЛ\Сервисы МГП исходники\Иконки сервисов 2025\двухцветные фон голубой\png\Ярмарка учебных рабочих мест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Методологи\ФилеваОЛ\Сервисы МГП исходники\Иконки сервисов 2025\двухцветные фон голубой\png\Ярмарка учебных рабочих мест@2x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6F40">
        <w:rPr>
          <w:noProof/>
        </w:rPr>
        <w:t xml:space="preserve">  </w:t>
      </w:r>
      <w:r w:rsidR="00F876A7" w:rsidRPr="00B6720E">
        <w:rPr>
          <w:noProof/>
          <w:sz w:val="32"/>
          <w:szCs w:val="32"/>
        </w:rPr>
        <w:drawing>
          <wp:inline distT="0" distB="0" distL="0" distR="0" wp14:anchorId="57377482" wp14:editId="057D91F2">
            <wp:extent cx="419100" cy="357062"/>
            <wp:effectExtent l="0" t="0" r="0" b="5080"/>
            <wp:docPr id="8" name="Рисунок 8" descr="H:\Методологи\ФилеваОЛ\Сервисы МГП исходники\Иконки сервисов 2025\двухцветные фон голубой\png\Тестирование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Методологи\ФилеваОЛ\Сервисы МГП исходники\Иконки сервисов 2025\двухцветные фон голубой\png\Тестирование@2x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62" cy="364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76A7" w:rsidRPr="00B6720E">
        <w:rPr>
          <w:noProof/>
          <w:sz w:val="32"/>
          <w:szCs w:val="32"/>
        </w:rPr>
        <w:drawing>
          <wp:inline distT="0" distB="0" distL="0" distR="0" wp14:anchorId="3D54A7E9" wp14:editId="73BA7BEB">
            <wp:extent cx="373380" cy="353728"/>
            <wp:effectExtent l="0" t="0" r="7620" b="8255"/>
            <wp:docPr id="9" name="Рисунок 9" descr="H:\Методологи\ФилеваОЛ\Сервисы МГП исходники\Иконки сервисов 2025\двухцветные фон голубой\png\Информирование о текущей и прогнозируемой ситуации на рынке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Методологи\ФилеваОЛ\Сервисы МГП исходники\Иконки сервисов 2025\двухцветные фон голубой\png\Информирование о текущей и прогнозируемой ситуации на рынке@2x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53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6F40" w:rsidRPr="00B6720E">
        <w:rPr>
          <w:noProof/>
          <w:sz w:val="32"/>
          <w:szCs w:val="32"/>
        </w:rPr>
        <w:t xml:space="preserve">  </w:t>
      </w:r>
    </w:p>
    <w:p w:rsidR="00EB0281" w:rsidRPr="00B6720E" w:rsidRDefault="00EB0281" w:rsidP="002B0A97">
      <w:pPr>
        <w:pStyle w:val="a8"/>
        <w:rPr>
          <w:rFonts w:ascii="Montserrat" w:hAnsi="Montserrat"/>
          <w:b/>
          <w:noProof/>
          <w:color w:val="0033A0"/>
          <w:sz w:val="32"/>
          <w:szCs w:val="32"/>
        </w:rPr>
      </w:pPr>
      <w:r w:rsidRPr="00B6720E">
        <w:rPr>
          <w:rFonts w:ascii="Montserrat" w:hAnsi="Montserrat" w:cs="Montserrat"/>
          <w:b/>
          <w:bCs/>
          <w:color w:val="0033A0"/>
          <w:sz w:val="32"/>
          <w:szCs w:val="32"/>
        </w:rPr>
        <w:t xml:space="preserve">Сервисы в рамках </w:t>
      </w:r>
      <w:r w:rsidR="00B6720E" w:rsidRPr="00B6720E">
        <w:rPr>
          <w:rFonts w:ascii="Montserrat" w:hAnsi="Montserrat"/>
          <w:b/>
          <w:noProof/>
          <w:color w:val="0033A0"/>
          <w:sz w:val="32"/>
          <w:szCs w:val="32"/>
        </w:rPr>
        <w:t>мер государственной поддержки</w:t>
      </w:r>
      <w:r w:rsidRPr="00B6720E">
        <w:rPr>
          <w:b/>
          <w:noProof/>
          <w:color w:val="0033A0"/>
          <w:sz w:val="32"/>
          <w:szCs w:val="32"/>
        </w:rPr>
        <w:t xml:space="preserve"> </w:t>
      </w:r>
      <w:r w:rsidR="00F01AF5" w:rsidRPr="00B6720E">
        <w:rPr>
          <w:rFonts w:ascii="Montserrat" w:hAnsi="Montserrat"/>
          <w:b/>
          <w:noProof/>
          <w:color w:val="0033A0"/>
          <w:sz w:val="32"/>
          <w:szCs w:val="32"/>
        </w:rPr>
        <w:t xml:space="preserve">565 </w:t>
      </w:r>
      <w:r w:rsidR="002B126A" w:rsidRPr="00B6720E">
        <w:rPr>
          <w:rFonts w:ascii="Montserrat" w:hAnsi="Montserrat"/>
          <w:b/>
          <w:noProof/>
          <w:color w:val="0033A0"/>
          <w:sz w:val="32"/>
          <w:szCs w:val="32"/>
        </w:rPr>
        <w:t>–</w:t>
      </w:r>
      <w:r w:rsidR="00F01AF5" w:rsidRPr="00B6720E">
        <w:rPr>
          <w:rFonts w:ascii="Montserrat" w:hAnsi="Montserrat"/>
          <w:b/>
          <w:noProof/>
          <w:color w:val="0033A0"/>
          <w:sz w:val="32"/>
          <w:szCs w:val="32"/>
        </w:rPr>
        <w:t>ФЗ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6091"/>
        <w:gridCol w:w="9416"/>
      </w:tblGrid>
      <w:tr w:rsidR="002B126A" w:rsidTr="00120D81">
        <w:trPr>
          <w:trHeight w:val="510"/>
        </w:trPr>
        <w:tc>
          <w:tcPr>
            <w:tcW w:w="6091" w:type="dxa"/>
          </w:tcPr>
          <w:p w:rsidR="00B6720E" w:rsidRDefault="002B126A" w:rsidP="00B6720E">
            <w:pPr>
              <w:pStyle w:val="a8"/>
              <w:spacing w:before="0" w:beforeAutospacing="0" w:after="0" w:afterAutospacing="0"/>
              <w:jc w:val="center"/>
              <w:rPr>
                <w:rFonts w:ascii="Montserrat" w:hAnsi="Montserrat"/>
                <w:b/>
                <w:noProof/>
                <w:color w:val="0033A0"/>
                <w:sz w:val="22"/>
                <w:szCs w:val="22"/>
              </w:rPr>
            </w:pPr>
            <w:r w:rsidRPr="00317117">
              <w:rPr>
                <w:rFonts w:ascii="Montserrat" w:hAnsi="Montserrat"/>
                <w:b/>
                <w:noProof/>
                <w:color w:val="0033A0"/>
                <w:sz w:val="22"/>
                <w:szCs w:val="22"/>
              </w:rPr>
              <w:t xml:space="preserve">Наименование </w:t>
            </w:r>
          </w:p>
          <w:p w:rsidR="00D94200" w:rsidRPr="00317117" w:rsidRDefault="00B67AFB" w:rsidP="00B6720E">
            <w:pPr>
              <w:pStyle w:val="a8"/>
              <w:spacing w:before="0" w:beforeAutospacing="0" w:after="0" w:afterAutospacing="0"/>
              <w:jc w:val="center"/>
              <w:rPr>
                <w:rFonts w:ascii="Montserrat" w:hAnsi="Montserrat"/>
                <w:b/>
                <w:noProof/>
                <w:color w:val="0033A0"/>
                <w:sz w:val="22"/>
                <w:szCs w:val="22"/>
              </w:rPr>
            </w:pPr>
            <w:r w:rsidRPr="00317117">
              <w:rPr>
                <w:rFonts w:ascii="Montserrat" w:hAnsi="Montserrat"/>
                <w:b/>
                <w:noProof/>
                <w:color w:val="0033A0"/>
                <w:sz w:val="22"/>
                <w:szCs w:val="22"/>
              </w:rPr>
              <w:t>м</w:t>
            </w:r>
            <w:r w:rsidR="002B126A" w:rsidRPr="00317117">
              <w:rPr>
                <w:rFonts w:ascii="Montserrat" w:hAnsi="Montserrat"/>
                <w:b/>
                <w:noProof/>
                <w:color w:val="0033A0"/>
                <w:sz w:val="22"/>
                <w:szCs w:val="22"/>
              </w:rPr>
              <w:t>еры государственной поддержки</w:t>
            </w:r>
          </w:p>
        </w:tc>
        <w:tc>
          <w:tcPr>
            <w:tcW w:w="9416" w:type="dxa"/>
          </w:tcPr>
          <w:p w:rsidR="002B126A" w:rsidRPr="005A39F1" w:rsidRDefault="002B126A" w:rsidP="00052F85">
            <w:pPr>
              <w:pStyle w:val="a8"/>
              <w:jc w:val="center"/>
              <w:rPr>
                <w:rFonts w:ascii="Montserrat" w:hAnsi="Montserrat"/>
                <w:b/>
                <w:noProof/>
                <w:color w:val="0033A0"/>
                <w:sz w:val="22"/>
                <w:szCs w:val="22"/>
              </w:rPr>
            </w:pPr>
            <w:r w:rsidRPr="005A39F1">
              <w:rPr>
                <w:rFonts w:ascii="Montserrat" w:hAnsi="Montserrat"/>
                <w:b/>
                <w:noProof/>
                <w:color w:val="0033A0"/>
                <w:sz w:val="22"/>
                <w:szCs w:val="22"/>
              </w:rPr>
              <w:t xml:space="preserve">Наименование сервиса(сов) в составе </w:t>
            </w:r>
            <w:r w:rsidR="00B6720E" w:rsidRPr="00317117">
              <w:rPr>
                <w:rFonts w:ascii="Montserrat" w:hAnsi="Montserrat"/>
                <w:b/>
                <w:noProof/>
                <w:color w:val="0033A0"/>
                <w:sz w:val="22"/>
                <w:szCs w:val="22"/>
              </w:rPr>
              <w:t>меры государственной поддержки</w:t>
            </w:r>
          </w:p>
        </w:tc>
      </w:tr>
      <w:tr w:rsidR="00CD4245" w:rsidTr="00120D81">
        <w:trPr>
          <w:trHeight w:val="1134"/>
        </w:trPr>
        <w:tc>
          <w:tcPr>
            <w:tcW w:w="6091" w:type="dxa"/>
          </w:tcPr>
          <w:p w:rsidR="00CD4245" w:rsidRPr="00CD4245" w:rsidRDefault="00CD4245" w:rsidP="00876418">
            <w:pPr>
              <w:shd w:val="clear" w:color="auto" w:fill="FFFFFF"/>
              <w:spacing w:after="0" w:line="240" w:lineRule="auto"/>
              <w:rPr>
                <w:rFonts w:ascii="Montserrat" w:eastAsia="Times New Roman" w:hAnsi="Montserrat"/>
                <w:b/>
                <w:color w:val="0033A0"/>
                <w:lang w:eastAsia="ru-RU"/>
              </w:rPr>
            </w:pPr>
            <w:r w:rsidRPr="00CD4245">
              <w:rPr>
                <w:rFonts w:ascii="Montserrat" w:eastAsia="Times New Roman" w:hAnsi="Montserrat"/>
                <w:b/>
                <w:color w:val="0033A0"/>
                <w:lang w:eastAsia="ru-RU"/>
              </w:rPr>
              <w:t> </w:t>
            </w:r>
            <w:hyperlink r:id="rId12" w:anchor="dst100011" w:history="1">
              <w:r w:rsidRPr="00CD4245">
                <w:rPr>
                  <w:rFonts w:ascii="Montserrat" w:eastAsia="Times New Roman" w:hAnsi="Montserrat"/>
                  <w:b/>
                  <w:color w:val="0033A0"/>
                  <w:lang w:eastAsia="ru-RU"/>
                </w:rPr>
                <w:t>Содействие</w:t>
              </w:r>
            </w:hyperlink>
            <w:r w:rsidRPr="00CD4245">
              <w:rPr>
                <w:rFonts w:ascii="Montserrat" w:eastAsia="Times New Roman" w:hAnsi="Montserrat"/>
                <w:b/>
                <w:color w:val="0033A0"/>
                <w:lang w:eastAsia="ru-RU"/>
              </w:rPr>
              <w:t> работодателям в подборе необходимых работников</w:t>
            </w:r>
          </w:p>
        </w:tc>
        <w:tc>
          <w:tcPr>
            <w:tcW w:w="9416" w:type="dxa"/>
          </w:tcPr>
          <w:p w:rsidR="00CD4245" w:rsidRPr="00B6720E" w:rsidRDefault="00CD4245" w:rsidP="00B86216">
            <w:pPr>
              <w:pStyle w:val="a5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60" w:firstLine="0"/>
              <w:rPr>
                <w:rFonts w:ascii="Montserrat" w:eastAsia="Times New Roman" w:hAnsi="Montserrat"/>
                <w:b/>
                <w:color w:val="0033A0"/>
                <w:lang w:eastAsia="ru-RU"/>
              </w:rPr>
            </w:pPr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«Массовый отбор кандидатов на работу»</w:t>
            </w:r>
            <w:r w:rsidR="00B86216" w:rsidRPr="00B6720E">
              <w:t xml:space="preserve"> </w:t>
            </w:r>
            <w:r w:rsidR="00532324" w:rsidRPr="00B6720E">
              <w:t xml:space="preserve">- </w:t>
            </w:r>
            <w:r w:rsidR="00532324" w:rsidRPr="00B6720E">
              <w:rPr>
                <w:rFonts w:ascii="Montserrat" w:eastAsia="Times New Roman" w:hAnsi="Montserrat"/>
                <w:color w:val="0033A0"/>
                <w:lang w:eastAsia="ru-RU"/>
              </w:rPr>
              <w:t>се</w:t>
            </w:r>
            <w:r w:rsidR="00B86216" w:rsidRPr="00B6720E">
              <w:rPr>
                <w:rFonts w:ascii="Montserrat" w:eastAsia="Times New Roman" w:hAnsi="Montserrat"/>
                <w:color w:val="0033A0"/>
                <w:lang w:eastAsia="ru-RU"/>
              </w:rPr>
              <w:t xml:space="preserve">рвис доступен работодателям, имеющим массовую потребность в работниках по одной вакансии (от 10 свободных рабочих мест). </w:t>
            </w:r>
            <w:proofErr w:type="gramStart"/>
            <w:r w:rsidR="00B86216" w:rsidRPr="00B6720E">
              <w:rPr>
                <w:rFonts w:ascii="Montserrat" w:eastAsia="Times New Roman" w:hAnsi="Montserrat"/>
                <w:color w:val="0033A0"/>
                <w:lang w:eastAsia="ru-RU"/>
              </w:rPr>
              <w:t xml:space="preserve">Оказание сервиса позволяет делегировать центру занятости работу по поиску и подбору работников, а также в определенные работодателем дату и время встретиться с кандидатами, прошедшими предварительное интервьюирование и провести с каждым собеседование </w:t>
            </w:r>
            <w:r w:rsidR="00B86216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(очно)</w:t>
            </w:r>
            <w:proofErr w:type="gramEnd"/>
          </w:p>
          <w:p w:rsidR="00CD4245" w:rsidRPr="00B6720E" w:rsidRDefault="00CD4245" w:rsidP="00043DC9">
            <w:pPr>
              <w:pStyle w:val="a5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18" w:firstLine="0"/>
              <w:rPr>
                <w:rFonts w:ascii="Montserrat" w:eastAsia="Times New Roman" w:hAnsi="Montserrat"/>
                <w:color w:val="0033A0"/>
                <w:lang w:eastAsia="ru-RU"/>
              </w:rPr>
            </w:pPr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«Организация собеседования с кандидатами на работу</w:t>
            </w:r>
            <w:r w:rsidR="00B86216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»</w:t>
            </w:r>
            <w:r w:rsidR="00532324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 xml:space="preserve"> - </w:t>
            </w:r>
            <w:r w:rsidR="00532324" w:rsidRPr="00B6720E">
              <w:rPr>
                <w:rFonts w:ascii="Montserrat" w:eastAsia="Times New Roman" w:hAnsi="Montserrat"/>
                <w:color w:val="0033A0"/>
                <w:lang w:eastAsia="ru-RU"/>
              </w:rPr>
              <w:t>с</w:t>
            </w:r>
            <w:r w:rsidR="00B86216" w:rsidRPr="00B6720E">
              <w:rPr>
                <w:rFonts w:ascii="Montserrat" w:eastAsia="Times New Roman" w:hAnsi="Montserrat"/>
                <w:color w:val="0033A0"/>
                <w:lang w:eastAsia="ru-RU"/>
              </w:rPr>
              <w:t>ервис доступен всем работодателям, у которых отсутствует возможность проводить собеседования с кандидатами на своей территории. Оказание сервиса позволяет делегировать центру занятости работу по всей непосредственной организации проведения собеседования с кандидатами в очном или дистанционном формате (центр занятости выступает в роли площадки для непосредственной встречи работодателя с кандидатами в оборудованном помещении центра занятости населения или с использованием онлайн-платформы)</w:t>
            </w:r>
            <w:r w:rsidR="00366D14" w:rsidRPr="00B6720E">
              <w:rPr>
                <w:rFonts w:ascii="Montserrat" w:eastAsia="Times New Roman" w:hAnsi="Montserrat"/>
                <w:color w:val="0033A0"/>
                <w:lang w:eastAsia="ru-RU"/>
              </w:rPr>
              <w:t>,</w:t>
            </w:r>
            <w:r w:rsidR="00B86216" w:rsidRPr="00B6720E">
              <w:rPr>
                <w:rFonts w:ascii="Montserrat" w:eastAsia="Times New Roman" w:hAnsi="Montserrat"/>
                <w:color w:val="0033A0"/>
                <w:lang w:eastAsia="ru-RU"/>
              </w:rPr>
              <w:t xml:space="preserve"> </w:t>
            </w:r>
            <w:r w:rsidR="00B86216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(очно/</w:t>
            </w:r>
            <w:proofErr w:type="spellStart"/>
            <w:r w:rsidR="00B86216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дистант</w:t>
            </w:r>
            <w:proofErr w:type="spellEnd"/>
            <w:r w:rsidR="00B86216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)</w:t>
            </w:r>
          </w:p>
        </w:tc>
      </w:tr>
    </w:tbl>
    <w:p w:rsidR="002B126A" w:rsidRPr="00F01AF5" w:rsidRDefault="002B126A" w:rsidP="00F852CB">
      <w:pPr>
        <w:pStyle w:val="a8"/>
        <w:rPr>
          <w:rFonts w:ascii="Montserrat" w:hAnsi="Montserrat"/>
          <w:b/>
          <w:noProof/>
          <w:color w:val="CF4520"/>
        </w:rPr>
      </w:pPr>
      <w:bookmarkStart w:id="0" w:name="_GoBack"/>
      <w:bookmarkEnd w:id="0"/>
    </w:p>
    <w:sectPr w:rsidR="002B126A" w:rsidRPr="00F01AF5" w:rsidSect="00821E96">
      <w:pgSz w:w="16839" w:h="11907" w:orient="landscape" w:code="9"/>
      <w:pgMar w:top="567" w:right="720" w:bottom="284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Courier New"/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57B6"/>
    <w:multiLevelType w:val="hybridMultilevel"/>
    <w:tmpl w:val="0C149554"/>
    <w:lvl w:ilvl="0" w:tplc="623064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33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7441F"/>
    <w:multiLevelType w:val="hybridMultilevel"/>
    <w:tmpl w:val="12F20E5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0033A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39A2E35"/>
    <w:multiLevelType w:val="hybridMultilevel"/>
    <w:tmpl w:val="394810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33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F3355"/>
    <w:multiLevelType w:val="hybridMultilevel"/>
    <w:tmpl w:val="7846B0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33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47669"/>
    <w:multiLevelType w:val="hybridMultilevel"/>
    <w:tmpl w:val="4F4EE9F6"/>
    <w:lvl w:ilvl="0" w:tplc="2988B4F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33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B3648D"/>
    <w:multiLevelType w:val="hybridMultilevel"/>
    <w:tmpl w:val="34DE77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E7223C"/>
    <w:multiLevelType w:val="hybridMultilevel"/>
    <w:tmpl w:val="62C248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33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8F1E0E"/>
    <w:multiLevelType w:val="hybridMultilevel"/>
    <w:tmpl w:val="484269B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0033A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42AC6FB6"/>
    <w:multiLevelType w:val="hybridMultilevel"/>
    <w:tmpl w:val="329AC7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33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515E98"/>
    <w:multiLevelType w:val="hybridMultilevel"/>
    <w:tmpl w:val="7402E8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BF1556"/>
    <w:multiLevelType w:val="hybridMultilevel"/>
    <w:tmpl w:val="BA443F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861C94"/>
    <w:multiLevelType w:val="hybridMultilevel"/>
    <w:tmpl w:val="C09A67A6"/>
    <w:lvl w:ilvl="0" w:tplc="C9F4284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33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A43447"/>
    <w:multiLevelType w:val="hybridMultilevel"/>
    <w:tmpl w:val="A9A83D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33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017DF8"/>
    <w:multiLevelType w:val="hybridMultilevel"/>
    <w:tmpl w:val="36A260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173039"/>
    <w:multiLevelType w:val="hybridMultilevel"/>
    <w:tmpl w:val="C2F0275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0033A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77A702E1"/>
    <w:multiLevelType w:val="hybridMultilevel"/>
    <w:tmpl w:val="759A1A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1"/>
  </w:num>
  <w:num w:numId="5">
    <w:abstractNumId w:val="14"/>
  </w:num>
  <w:num w:numId="6">
    <w:abstractNumId w:val="12"/>
  </w:num>
  <w:num w:numId="7">
    <w:abstractNumId w:val="10"/>
  </w:num>
  <w:num w:numId="8">
    <w:abstractNumId w:val="2"/>
  </w:num>
  <w:num w:numId="9">
    <w:abstractNumId w:val="13"/>
  </w:num>
  <w:num w:numId="10">
    <w:abstractNumId w:val="5"/>
  </w:num>
  <w:num w:numId="11">
    <w:abstractNumId w:val="15"/>
  </w:num>
  <w:num w:numId="12">
    <w:abstractNumId w:val="3"/>
  </w:num>
  <w:num w:numId="13">
    <w:abstractNumId w:val="9"/>
  </w:num>
  <w:num w:numId="14">
    <w:abstractNumId w:val="6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D45"/>
    <w:rsid w:val="00043DC9"/>
    <w:rsid w:val="00044810"/>
    <w:rsid w:val="00052F85"/>
    <w:rsid w:val="00057AE1"/>
    <w:rsid w:val="00064990"/>
    <w:rsid w:val="00071C76"/>
    <w:rsid w:val="00074AD5"/>
    <w:rsid w:val="000830AA"/>
    <w:rsid w:val="000E2E9E"/>
    <w:rsid w:val="00104BF3"/>
    <w:rsid w:val="0011080D"/>
    <w:rsid w:val="00114F4E"/>
    <w:rsid w:val="00120D81"/>
    <w:rsid w:val="00122FB1"/>
    <w:rsid w:val="001413D5"/>
    <w:rsid w:val="00146077"/>
    <w:rsid w:val="00146F40"/>
    <w:rsid w:val="002847B5"/>
    <w:rsid w:val="002862A0"/>
    <w:rsid w:val="002B0A97"/>
    <w:rsid w:val="002B126A"/>
    <w:rsid w:val="002B659E"/>
    <w:rsid w:val="002C5E6C"/>
    <w:rsid w:val="002F36FB"/>
    <w:rsid w:val="0030545A"/>
    <w:rsid w:val="00317117"/>
    <w:rsid w:val="00344370"/>
    <w:rsid w:val="00363B39"/>
    <w:rsid w:val="00366D14"/>
    <w:rsid w:val="00370321"/>
    <w:rsid w:val="00376546"/>
    <w:rsid w:val="004430B0"/>
    <w:rsid w:val="00492EFA"/>
    <w:rsid w:val="004B0375"/>
    <w:rsid w:val="004B2809"/>
    <w:rsid w:val="004C30B5"/>
    <w:rsid w:val="004D5551"/>
    <w:rsid w:val="004E582F"/>
    <w:rsid w:val="00532324"/>
    <w:rsid w:val="005472D6"/>
    <w:rsid w:val="00576931"/>
    <w:rsid w:val="005849F6"/>
    <w:rsid w:val="0059390B"/>
    <w:rsid w:val="005A39F1"/>
    <w:rsid w:val="005F0526"/>
    <w:rsid w:val="005F5F8D"/>
    <w:rsid w:val="00601546"/>
    <w:rsid w:val="0061024E"/>
    <w:rsid w:val="00625FEF"/>
    <w:rsid w:val="006521ED"/>
    <w:rsid w:val="00652CF5"/>
    <w:rsid w:val="00665C33"/>
    <w:rsid w:val="00675BB9"/>
    <w:rsid w:val="006B2BA2"/>
    <w:rsid w:val="006D6B59"/>
    <w:rsid w:val="00702C97"/>
    <w:rsid w:val="00706D45"/>
    <w:rsid w:val="00766804"/>
    <w:rsid w:val="00780FF8"/>
    <w:rsid w:val="00794793"/>
    <w:rsid w:val="007951FC"/>
    <w:rsid w:val="00821E96"/>
    <w:rsid w:val="00863DD8"/>
    <w:rsid w:val="00876418"/>
    <w:rsid w:val="00883261"/>
    <w:rsid w:val="00892403"/>
    <w:rsid w:val="008E55A4"/>
    <w:rsid w:val="0093309B"/>
    <w:rsid w:val="009439C1"/>
    <w:rsid w:val="009477C9"/>
    <w:rsid w:val="00950E88"/>
    <w:rsid w:val="009E3DBB"/>
    <w:rsid w:val="00A03293"/>
    <w:rsid w:val="00A50584"/>
    <w:rsid w:val="00A96775"/>
    <w:rsid w:val="00AC6FFB"/>
    <w:rsid w:val="00B26C65"/>
    <w:rsid w:val="00B32882"/>
    <w:rsid w:val="00B6720E"/>
    <w:rsid w:val="00B67AFB"/>
    <w:rsid w:val="00B86216"/>
    <w:rsid w:val="00B93FAA"/>
    <w:rsid w:val="00C14F8D"/>
    <w:rsid w:val="00C163E8"/>
    <w:rsid w:val="00C9630F"/>
    <w:rsid w:val="00CB1887"/>
    <w:rsid w:val="00CC6056"/>
    <w:rsid w:val="00CC62FA"/>
    <w:rsid w:val="00CD4245"/>
    <w:rsid w:val="00CD6BFD"/>
    <w:rsid w:val="00CF2597"/>
    <w:rsid w:val="00D44C4E"/>
    <w:rsid w:val="00D765F4"/>
    <w:rsid w:val="00D91DC6"/>
    <w:rsid w:val="00D94200"/>
    <w:rsid w:val="00DD6118"/>
    <w:rsid w:val="00E53BDC"/>
    <w:rsid w:val="00E57A3A"/>
    <w:rsid w:val="00E61338"/>
    <w:rsid w:val="00EB0281"/>
    <w:rsid w:val="00EF0665"/>
    <w:rsid w:val="00F01AF5"/>
    <w:rsid w:val="00F17E3F"/>
    <w:rsid w:val="00F710E5"/>
    <w:rsid w:val="00F852CB"/>
    <w:rsid w:val="00F876A7"/>
    <w:rsid w:val="00FD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C9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E55A4"/>
    <w:pPr>
      <w:autoSpaceDE w:val="0"/>
      <w:autoSpaceDN w:val="0"/>
      <w:adjustRightInd w:val="0"/>
      <w:spacing w:after="0" w:line="360" w:lineRule="exact"/>
      <w:jc w:val="both"/>
      <w:outlineLvl w:val="0"/>
    </w:pPr>
    <w:rPr>
      <w:rFonts w:ascii="Times New Roman" w:hAnsi="Times New Roman"/>
      <w:b/>
      <w:bCs/>
      <w:sz w:val="28"/>
      <w:szCs w:val="28"/>
      <w:lang w:val="x-none" w:eastAsia="ru-RU"/>
    </w:rPr>
  </w:style>
  <w:style w:type="paragraph" w:styleId="2">
    <w:name w:val="heading 2"/>
    <w:basedOn w:val="a"/>
    <w:next w:val="a"/>
    <w:link w:val="20"/>
    <w:qFormat/>
    <w:rsid w:val="008E55A4"/>
    <w:pPr>
      <w:spacing w:before="240" w:after="120" w:line="240" w:lineRule="auto"/>
      <w:outlineLvl w:val="1"/>
    </w:pPr>
    <w:rPr>
      <w:rFonts w:ascii="Times New Roman" w:eastAsia="Times New Roman" w:hAnsi="Times New Roman"/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8E55A4"/>
    <w:pPr>
      <w:spacing w:before="240" w:after="120"/>
      <w:outlineLvl w:val="2"/>
    </w:pPr>
    <w:rPr>
      <w:rFonts w:ascii="Times New Roman" w:eastAsia="Times New Roman" w:hAnsi="Times New Roman"/>
      <w:b/>
      <w:sz w:val="20"/>
      <w:szCs w:val="20"/>
      <w:shd w:val="clear" w:color="auto" w:fill="FFFFFF"/>
      <w:lang w:val="x-none" w:eastAsia="ru-RU"/>
    </w:rPr>
  </w:style>
  <w:style w:type="paragraph" w:styleId="4">
    <w:name w:val="heading 4"/>
    <w:basedOn w:val="3"/>
    <w:next w:val="a"/>
    <w:link w:val="40"/>
    <w:qFormat/>
    <w:rsid w:val="008E55A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E55A4"/>
    <w:rPr>
      <w:rFonts w:ascii="Times New Roman" w:hAnsi="Times New Roman"/>
      <w:b/>
      <w:bCs/>
      <w:sz w:val="28"/>
      <w:szCs w:val="28"/>
      <w:lang w:val="x-none" w:eastAsia="ru-RU"/>
    </w:rPr>
  </w:style>
  <w:style w:type="character" w:customStyle="1" w:styleId="20">
    <w:name w:val="Заголовок 2 Знак"/>
    <w:link w:val="2"/>
    <w:rsid w:val="008E55A4"/>
    <w:rPr>
      <w:rFonts w:ascii="Times New Roman" w:eastAsia="Times New Roman" w:hAnsi="Times New Roman"/>
      <w:b/>
    </w:rPr>
  </w:style>
  <w:style w:type="character" w:customStyle="1" w:styleId="30">
    <w:name w:val="Заголовок 3 Знак"/>
    <w:link w:val="3"/>
    <w:rsid w:val="008E55A4"/>
    <w:rPr>
      <w:rFonts w:ascii="Times New Roman" w:eastAsia="Times New Roman" w:hAnsi="Times New Roman"/>
      <w:b/>
      <w:lang w:val="x-none" w:eastAsia="ru-RU"/>
    </w:rPr>
  </w:style>
  <w:style w:type="character" w:customStyle="1" w:styleId="40">
    <w:name w:val="Заголовок 4 Знак"/>
    <w:link w:val="4"/>
    <w:rsid w:val="008E55A4"/>
    <w:rPr>
      <w:rFonts w:ascii="Times New Roman" w:eastAsia="Times New Roman" w:hAnsi="Times New Roman"/>
      <w:b/>
      <w:lang w:val="x-none" w:eastAsia="ru-RU"/>
    </w:rPr>
  </w:style>
  <w:style w:type="character" w:styleId="a3">
    <w:name w:val="Emphasis"/>
    <w:basedOn w:val="a0"/>
    <w:qFormat/>
    <w:rsid w:val="008E55A4"/>
    <w:rPr>
      <w:i/>
      <w:iCs/>
    </w:rPr>
  </w:style>
  <w:style w:type="paragraph" w:styleId="a4">
    <w:name w:val="No Spacing"/>
    <w:uiPriority w:val="1"/>
    <w:qFormat/>
    <w:rsid w:val="008E55A4"/>
    <w:rPr>
      <w:rFonts w:eastAsia="Times New Roman"/>
      <w:sz w:val="22"/>
      <w:szCs w:val="22"/>
    </w:rPr>
  </w:style>
  <w:style w:type="paragraph" w:styleId="a5">
    <w:name w:val="List Paragraph"/>
    <w:basedOn w:val="a"/>
    <w:link w:val="a6"/>
    <w:uiPriority w:val="34"/>
    <w:qFormat/>
    <w:rsid w:val="008E55A4"/>
    <w:pPr>
      <w:spacing w:line="256" w:lineRule="auto"/>
      <w:ind w:left="720"/>
      <w:contextualSpacing/>
    </w:pPr>
    <w:rPr>
      <w:sz w:val="20"/>
      <w:szCs w:val="20"/>
    </w:rPr>
  </w:style>
  <w:style w:type="character" w:customStyle="1" w:styleId="a6">
    <w:name w:val="Абзац списка Знак"/>
    <w:link w:val="a5"/>
    <w:uiPriority w:val="34"/>
    <w:qFormat/>
    <w:locked/>
    <w:rsid w:val="008E55A4"/>
  </w:style>
  <w:style w:type="character" w:styleId="a7">
    <w:name w:val="Intense Emphasis"/>
    <w:basedOn w:val="a0"/>
    <w:uiPriority w:val="21"/>
    <w:qFormat/>
    <w:rsid w:val="008E55A4"/>
    <w:rPr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unhideWhenUsed/>
    <w:rsid w:val="00E57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57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7A3A"/>
    <w:rPr>
      <w:rFonts w:ascii="Tahoma" w:eastAsiaTheme="minorHAnsi" w:hAnsi="Tahoma" w:cs="Tahoma"/>
      <w:sz w:val="16"/>
      <w:szCs w:val="16"/>
    </w:rPr>
  </w:style>
  <w:style w:type="table" w:styleId="ab">
    <w:name w:val="Table Grid"/>
    <w:basedOn w:val="a1"/>
    <w:uiPriority w:val="59"/>
    <w:rsid w:val="002B1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C9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E55A4"/>
    <w:pPr>
      <w:autoSpaceDE w:val="0"/>
      <w:autoSpaceDN w:val="0"/>
      <w:adjustRightInd w:val="0"/>
      <w:spacing w:after="0" w:line="360" w:lineRule="exact"/>
      <w:jc w:val="both"/>
      <w:outlineLvl w:val="0"/>
    </w:pPr>
    <w:rPr>
      <w:rFonts w:ascii="Times New Roman" w:hAnsi="Times New Roman"/>
      <w:b/>
      <w:bCs/>
      <w:sz w:val="28"/>
      <w:szCs w:val="28"/>
      <w:lang w:val="x-none" w:eastAsia="ru-RU"/>
    </w:rPr>
  </w:style>
  <w:style w:type="paragraph" w:styleId="2">
    <w:name w:val="heading 2"/>
    <w:basedOn w:val="a"/>
    <w:next w:val="a"/>
    <w:link w:val="20"/>
    <w:qFormat/>
    <w:rsid w:val="008E55A4"/>
    <w:pPr>
      <w:spacing w:before="240" w:after="120" w:line="240" w:lineRule="auto"/>
      <w:outlineLvl w:val="1"/>
    </w:pPr>
    <w:rPr>
      <w:rFonts w:ascii="Times New Roman" w:eastAsia="Times New Roman" w:hAnsi="Times New Roman"/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8E55A4"/>
    <w:pPr>
      <w:spacing w:before="240" w:after="120"/>
      <w:outlineLvl w:val="2"/>
    </w:pPr>
    <w:rPr>
      <w:rFonts w:ascii="Times New Roman" w:eastAsia="Times New Roman" w:hAnsi="Times New Roman"/>
      <w:b/>
      <w:sz w:val="20"/>
      <w:szCs w:val="20"/>
      <w:shd w:val="clear" w:color="auto" w:fill="FFFFFF"/>
      <w:lang w:val="x-none" w:eastAsia="ru-RU"/>
    </w:rPr>
  </w:style>
  <w:style w:type="paragraph" w:styleId="4">
    <w:name w:val="heading 4"/>
    <w:basedOn w:val="3"/>
    <w:next w:val="a"/>
    <w:link w:val="40"/>
    <w:qFormat/>
    <w:rsid w:val="008E55A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E55A4"/>
    <w:rPr>
      <w:rFonts w:ascii="Times New Roman" w:hAnsi="Times New Roman"/>
      <w:b/>
      <w:bCs/>
      <w:sz w:val="28"/>
      <w:szCs w:val="28"/>
      <w:lang w:val="x-none" w:eastAsia="ru-RU"/>
    </w:rPr>
  </w:style>
  <w:style w:type="character" w:customStyle="1" w:styleId="20">
    <w:name w:val="Заголовок 2 Знак"/>
    <w:link w:val="2"/>
    <w:rsid w:val="008E55A4"/>
    <w:rPr>
      <w:rFonts w:ascii="Times New Roman" w:eastAsia="Times New Roman" w:hAnsi="Times New Roman"/>
      <w:b/>
    </w:rPr>
  </w:style>
  <w:style w:type="character" w:customStyle="1" w:styleId="30">
    <w:name w:val="Заголовок 3 Знак"/>
    <w:link w:val="3"/>
    <w:rsid w:val="008E55A4"/>
    <w:rPr>
      <w:rFonts w:ascii="Times New Roman" w:eastAsia="Times New Roman" w:hAnsi="Times New Roman"/>
      <w:b/>
      <w:lang w:val="x-none" w:eastAsia="ru-RU"/>
    </w:rPr>
  </w:style>
  <w:style w:type="character" w:customStyle="1" w:styleId="40">
    <w:name w:val="Заголовок 4 Знак"/>
    <w:link w:val="4"/>
    <w:rsid w:val="008E55A4"/>
    <w:rPr>
      <w:rFonts w:ascii="Times New Roman" w:eastAsia="Times New Roman" w:hAnsi="Times New Roman"/>
      <w:b/>
      <w:lang w:val="x-none" w:eastAsia="ru-RU"/>
    </w:rPr>
  </w:style>
  <w:style w:type="character" w:styleId="a3">
    <w:name w:val="Emphasis"/>
    <w:basedOn w:val="a0"/>
    <w:qFormat/>
    <w:rsid w:val="008E55A4"/>
    <w:rPr>
      <w:i/>
      <w:iCs/>
    </w:rPr>
  </w:style>
  <w:style w:type="paragraph" w:styleId="a4">
    <w:name w:val="No Spacing"/>
    <w:uiPriority w:val="1"/>
    <w:qFormat/>
    <w:rsid w:val="008E55A4"/>
    <w:rPr>
      <w:rFonts w:eastAsia="Times New Roman"/>
      <w:sz w:val="22"/>
      <w:szCs w:val="22"/>
    </w:rPr>
  </w:style>
  <w:style w:type="paragraph" w:styleId="a5">
    <w:name w:val="List Paragraph"/>
    <w:basedOn w:val="a"/>
    <w:link w:val="a6"/>
    <w:uiPriority w:val="34"/>
    <w:qFormat/>
    <w:rsid w:val="008E55A4"/>
    <w:pPr>
      <w:spacing w:line="256" w:lineRule="auto"/>
      <w:ind w:left="720"/>
      <w:contextualSpacing/>
    </w:pPr>
    <w:rPr>
      <w:sz w:val="20"/>
      <w:szCs w:val="20"/>
    </w:rPr>
  </w:style>
  <w:style w:type="character" w:customStyle="1" w:styleId="a6">
    <w:name w:val="Абзац списка Знак"/>
    <w:link w:val="a5"/>
    <w:uiPriority w:val="34"/>
    <w:qFormat/>
    <w:locked/>
    <w:rsid w:val="008E55A4"/>
  </w:style>
  <w:style w:type="character" w:styleId="a7">
    <w:name w:val="Intense Emphasis"/>
    <w:basedOn w:val="a0"/>
    <w:uiPriority w:val="21"/>
    <w:qFormat/>
    <w:rsid w:val="008E55A4"/>
    <w:rPr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unhideWhenUsed/>
    <w:rsid w:val="00E57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57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7A3A"/>
    <w:rPr>
      <w:rFonts w:ascii="Tahoma" w:eastAsiaTheme="minorHAnsi" w:hAnsi="Tahoma" w:cs="Tahoma"/>
      <w:sz w:val="16"/>
      <w:szCs w:val="16"/>
    </w:rPr>
  </w:style>
  <w:style w:type="table" w:styleId="ab">
    <w:name w:val="Table Grid"/>
    <w:basedOn w:val="a1"/>
    <w:uiPriority w:val="59"/>
    <w:rsid w:val="002B1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www.consultant.ru/document/cons_doc_LAW_499044/7fb1cac0cb4a398efc2608181b471f8b35f5a8e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2026-01-29T14:33:00Z</cp:lastPrinted>
  <dcterms:created xsi:type="dcterms:W3CDTF">2026-02-12T12:29:00Z</dcterms:created>
  <dcterms:modified xsi:type="dcterms:W3CDTF">2026-02-12T12:39:00Z</dcterms:modified>
</cp:coreProperties>
</file>