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Новгородской области от 07.07.2025 N 240</w:t>
              <w:br/>
              <w:t xml:space="preserve">"Об утверждении Порядка выделения работодателем рабочего места в пределах установленной квоты и выполнения работодателями квоты для приема на работу граждан, завершивших военную службу"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НОВГОРОДСКОЙ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7 июля 2025 г. N 240</w:t>
      </w:r>
    </w:p>
    <w:p>
      <w:pPr>
        <w:pStyle w:val="2"/>
        <w:jc w:val="center"/>
      </w:pPr>
      <w:r>
        <w:rPr>
          <w:sz w:val="24"/>
        </w:rPr>
      </w:r>
    </w:p>
    <w:p>
      <w:pPr>
        <w:pStyle w:val="2"/>
        <w:jc w:val="center"/>
      </w:pPr>
      <w:r>
        <w:rPr>
          <w:sz w:val="24"/>
        </w:rPr>
        <w:t xml:space="preserve">ОБ УТВЕРЖДЕНИИ ПОРЯДКА ВЫДЕЛЕНИЯ РАБОТОДАТЕЛЕМ РАБОЧЕГО</w:t>
      </w:r>
    </w:p>
    <w:p>
      <w:pPr>
        <w:pStyle w:val="2"/>
        <w:jc w:val="center"/>
      </w:pPr>
      <w:r>
        <w:rPr>
          <w:sz w:val="24"/>
        </w:rPr>
        <w:t xml:space="preserve">МЕСТА В ПРЕДЕЛАХ УСТАНОВЛЕННОЙ КВОТЫ И ВЫПОЛНЕНИЯ</w:t>
      </w:r>
    </w:p>
    <w:p>
      <w:pPr>
        <w:pStyle w:val="2"/>
        <w:jc w:val="center"/>
      </w:pPr>
      <w:r>
        <w:rPr>
          <w:sz w:val="24"/>
        </w:rPr>
        <w:t xml:space="preserve">РАБОТОДАТЕЛЯМИ КВОТЫ ДЛЯ ПРИЕМА НА РАБОТУ ГРАЖДАН,</w:t>
      </w:r>
    </w:p>
    <w:p>
      <w:pPr>
        <w:pStyle w:val="2"/>
        <w:jc w:val="center"/>
      </w:pPr>
      <w:r>
        <w:rPr>
          <w:sz w:val="24"/>
        </w:rPr>
        <w:t xml:space="preserve">ЗАВЕРШИВШИХ ВОЕННУЮ СЛУЖБУ</w:t>
      </w:r>
    </w:p>
    <w:p>
      <w:pPr>
        <w:pStyle w:val="0"/>
        <w:jc w:val="both"/>
      </w:pPr>
      <w:r>
        <w:rPr>
          <w:sz w:val="24"/>
        </w:rPr>
      </w:r>
    </w:p>
    <w:p>
      <w:pPr>
        <w:pStyle w:val="0"/>
        <w:ind w:firstLine="540"/>
        <w:jc w:val="both"/>
      </w:pPr>
      <w:r>
        <w:rPr>
          <w:sz w:val="24"/>
        </w:rPr>
        <w:t xml:space="preserve">В соответствии с областным </w:t>
      </w:r>
      <w:hyperlink w:history="0" r:id="rId7" w:tooltip="Областной закон Новгородской области от 26.12.2024 N 621-ОЗ &quot;Об установлении на территории Новгородской области квоты для приема на работу граждан, завершивших военную службу&quot; (принят Постановлением Новгородской областной Думы от 25.12.2024 N 947-7 ОД) {КонсультантПлюс}">
        <w:r>
          <w:rPr>
            <w:sz w:val="24"/>
            <w:color w:val="0000ff"/>
          </w:rPr>
          <w:t xml:space="preserve">законом</w:t>
        </w:r>
      </w:hyperlink>
      <w:r>
        <w:rPr>
          <w:sz w:val="24"/>
        </w:rPr>
        <w:t xml:space="preserve"> от 26.12.2024 N 621-ОЗ "Об установлении на территории Новгородской области квоты для приема на работу граждан, завершивших военную службу" Правительство Новгородской области постановляет:</w:t>
      </w:r>
    </w:p>
    <w:p>
      <w:pPr>
        <w:pStyle w:val="0"/>
        <w:spacing w:before="240" w:line-rule="auto"/>
        <w:ind w:firstLine="540"/>
        <w:jc w:val="both"/>
      </w:pPr>
      <w:r>
        <w:rPr>
          <w:sz w:val="24"/>
        </w:rPr>
        <w:t xml:space="preserve">1. Утвердить прилагаемый </w:t>
      </w:r>
      <w:hyperlink w:history="0" w:anchor="P29" w:tooltip="ПОРЯДОК">
        <w:r>
          <w:rPr>
            <w:sz w:val="24"/>
            <w:color w:val="0000ff"/>
          </w:rPr>
          <w:t xml:space="preserve">Порядок</w:t>
        </w:r>
      </w:hyperlink>
      <w:r>
        <w:rPr>
          <w:sz w:val="24"/>
        </w:rPr>
        <w:t xml:space="preserve"> выделения работодателем рабочего места в пределах установленной квоты и выполнения работодателями квоты для приема на работу граждан, завершивших военную службу.</w:t>
      </w:r>
    </w:p>
    <w:p>
      <w:pPr>
        <w:pStyle w:val="0"/>
        <w:spacing w:before="240" w:line-rule="auto"/>
        <w:ind w:firstLine="540"/>
        <w:jc w:val="both"/>
      </w:pPr>
      <w:r>
        <w:rPr>
          <w:sz w:val="24"/>
        </w:rPr>
        <w:t xml:space="preserve">2. Постановление вступает в силу с 01 марта 2026 года и действует до 01 марта 2032 года.</w:t>
      </w:r>
    </w:p>
    <w:p>
      <w:pPr>
        <w:pStyle w:val="0"/>
        <w:spacing w:before="240" w:line-rule="auto"/>
        <w:ind w:firstLine="540"/>
        <w:jc w:val="both"/>
      </w:pPr>
      <w:r>
        <w:rPr>
          <w:sz w:val="24"/>
        </w:rPr>
        <w:t xml:space="preserve">3. Опубликовать постановление на "Официальном интернет-портале правовой информации" (</w:t>
      </w:r>
      <w:hyperlink w:history="0" r:id="rId8">
        <w:r>
          <w:rPr>
            <w:sz w:val="24"/>
            <w:color w:val="0000ff"/>
          </w:rPr>
          <w:t xml:space="preserve">www.pravo.gov.ru</w:t>
        </w:r>
      </w:hyperlink>
      <w:r>
        <w:rPr>
          <w:sz w:val="24"/>
        </w:rPr>
        <w:t xml:space="preserve">).</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Новгородской области</w:t>
      </w:r>
    </w:p>
    <w:p>
      <w:pPr>
        <w:pStyle w:val="0"/>
        <w:jc w:val="right"/>
      </w:pPr>
      <w:r>
        <w:rPr>
          <w:sz w:val="24"/>
        </w:rPr>
        <w:t xml:space="preserve">А.В.ДРОНОВ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Новгородской области</w:t>
      </w:r>
    </w:p>
    <w:p>
      <w:pPr>
        <w:pStyle w:val="0"/>
        <w:jc w:val="right"/>
      </w:pPr>
      <w:r>
        <w:rPr>
          <w:sz w:val="24"/>
        </w:rPr>
        <w:t xml:space="preserve">от 07.07.2025 N 240</w:t>
      </w:r>
    </w:p>
    <w:p>
      <w:pPr>
        <w:pStyle w:val="0"/>
        <w:jc w:val="both"/>
      </w:pPr>
      <w:r>
        <w:rPr>
          <w:sz w:val="24"/>
        </w:rPr>
      </w:r>
    </w:p>
    <w:bookmarkStart w:id="29" w:name="P29"/>
    <w:bookmarkEnd w:id="29"/>
    <w:p>
      <w:pPr>
        <w:pStyle w:val="2"/>
        <w:jc w:val="center"/>
      </w:pPr>
      <w:r>
        <w:rPr>
          <w:sz w:val="24"/>
        </w:rPr>
        <w:t xml:space="preserve">ПОРЯДОК</w:t>
      </w:r>
    </w:p>
    <w:p>
      <w:pPr>
        <w:pStyle w:val="2"/>
        <w:jc w:val="center"/>
      </w:pPr>
      <w:r>
        <w:rPr>
          <w:sz w:val="24"/>
        </w:rPr>
        <w:t xml:space="preserve">ВЫДЕЛЕНИЯ РАБОТОДАТЕЛЕМ РАБОЧЕГО МЕСТА В ПРЕДЕЛАХ</w:t>
      </w:r>
    </w:p>
    <w:p>
      <w:pPr>
        <w:pStyle w:val="2"/>
        <w:jc w:val="center"/>
      </w:pPr>
      <w:r>
        <w:rPr>
          <w:sz w:val="24"/>
        </w:rPr>
        <w:t xml:space="preserve">УСТАНОВЛЕННОЙ КВОТЫ И ВЫПОЛНЕНИЯ РАБОТОДАТЕЛЯМИ КВОТЫ</w:t>
      </w:r>
    </w:p>
    <w:p>
      <w:pPr>
        <w:pStyle w:val="2"/>
        <w:jc w:val="center"/>
      </w:pPr>
      <w:r>
        <w:rPr>
          <w:sz w:val="24"/>
        </w:rPr>
        <w:t xml:space="preserve">ДЛЯ ПРИЕМА НА РАБОТУ ГРАЖДАН, ЗАВЕРШИВШИХ ВОЕННУЮ СЛУЖБУ</w:t>
      </w:r>
    </w:p>
    <w:p>
      <w:pPr>
        <w:pStyle w:val="0"/>
        <w:jc w:val="both"/>
      </w:pPr>
      <w:r>
        <w:rPr>
          <w:sz w:val="24"/>
        </w:rPr>
      </w:r>
    </w:p>
    <w:p>
      <w:pPr>
        <w:pStyle w:val="0"/>
        <w:ind w:firstLine="540"/>
        <w:jc w:val="both"/>
      </w:pPr>
      <w:r>
        <w:rPr>
          <w:sz w:val="24"/>
        </w:rPr>
        <w:t xml:space="preserve">1. Порядок выделения работодателем рабочего места в пределах установленной квоты и выполнения работодателями квоты для приема на работу граждан, завершивших военную службу (далее Порядок), разработан в соответствии с областным </w:t>
      </w:r>
      <w:hyperlink w:history="0" r:id="rId9" w:tooltip="Областной закон Новгородской области от 26.12.2024 N 621-ОЗ &quot;Об установлении на территории Новгородской области квоты для приема на работу граждан, завершивших военную службу&quot; (принят Постановлением Новгородской областной Думы от 25.12.2024 N 947-7 ОД) {КонсультантПлюс}">
        <w:r>
          <w:rPr>
            <w:sz w:val="24"/>
            <w:color w:val="0000ff"/>
          </w:rPr>
          <w:t xml:space="preserve">законом</w:t>
        </w:r>
      </w:hyperlink>
      <w:r>
        <w:rPr>
          <w:sz w:val="24"/>
        </w:rPr>
        <w:t xml:space="preserve"> от 26.12.2024 N 621-ОЗ "Об установлении на территории Новгородской области квоты для приема на работу граждан, завершивших военную службу" (далее областной закон "Об установлении на территории Новгородской области квоты для приема на работу граждан, завершивших военную службу") и определяет механизм выделения работодателем рабочего места в пределах установленной квоты и выполнения работодателями квоты для приема на работу граждан, завершивших военную службу.</w:t>
      </w:r>
    </w:p>
    <w:p>
      <w:pPr>
        <w:pStyle w:val="0"/>
        <w:spacing w:before="240" w:line-rule="auto"/>
        <w:ind w:firstLine="540"/>
        <w:jc w:val="both"/>
      </w:pPr>
      <w:r>
        <w:rPr>
          <w:sz w:val="24"/>
        </w:rPr>
        <w:t xml:space="preserve">2. Понятия, используемые в Порядке, применяются в значениях, определенных законодательством Российской Федерации и областным </w:t>
      </w:r>
      <w:hyperlink w:history="0" r:id="rId10" w:tooltip="Областной закон Новгородской области от 26.12.2024 N 621-ОЗ &quot;Об установлении на территории Новгородской области квоты для приема на работу граждан, завершивших военную службу&quot; (принят Постановлением Новгородской областной Думы от 25.12.2024 N 947-7 ОД) {КонсультантПлюс}">
        <w:r>
          <w:rPr>
            <w:sz w:val="24"/>
            <w:color w:val="0000ff"/>
          </w:rPr>
          <w:t xml:space="preserve">законом</w:t>
        </w:r>
      </w:hyperlink>
      <w:r>
        <w:rPr>
          <w:sz w:val="24"/>
        </w:rPr>
        <w:t xml:space="preserve"> "Об установлении на территории Новгородской области квоты для приема на работу граждан, завершивших военную службу".</w:t>
      </w:r>
    </w:p>
    <w:p>
      <w:pPr>
        <w:pStyle w:val="0"/>
        <w:spacing w:before="240" w:line-rule="auto"/>
        <w:ind w:firstLine="540"/>
        <w:jc w:val="both"/>
      </w:pPr>
      <w:r>
        <w:rPr>
          <w:sz w:val="24"/>
        </w:rPr>
        <w:t xml:space="preserve">3. Квота устанавливается для граждан, завершивших военную службу, постоянно проживающих на территории Новгородской области, имеющих право на осуществление трудовой деятельности в соответствии с федеральными законами или международными договорами Российской Федерации и обратившихся за трудоустройством на квотируемое место в течение 3 лет после завершения ими военной службы.</w:t>
      </w:r>
    </w:p>
    <w:p>
      <w:pPr>
        <w:pStyle w:val="0"/>
        <w:spacing w:before="240" w:line-rule="auto"/>
        <w:ind w:firstLine="540"/>
        <w:jc w:val="both"/>
      </w:pPr>
      <w:r>
        <w:rPr>
          <w:sz w:val="24"/>
        </w:rPr>
        <w:t xml:space="preserve">4. Квота устанавливается работодателям в размере одного процента от среднесписочной численности работающих, но не менее одного рабочего места.</w:t>
      </w:r>
    </w:p>
    <w:p>
      <w:pPr>
        <w:pStyle w:val="0"/>
        <w:spacing w:before="240" w:line-rule="auto"/>
        <w:ind w:firstLine="540"/>
        <w:jc w:val="both"/>
      </w:pPr>
      <w:r>
        <w:rPr>
          <w:sz w:val="24"/>
        </w:rPr>
        <w:t xml:space="preserve">5. Под установлением квоты понимается количество рабочих мест, как уже замещенных гражданами, завершившими военную службу, так и рабочих мест, которые вакантны и заявлены в государственное областное казенное учреждение "Центр занятости населения Новгородской области" (далее центр занятости) как рабочие места для граждан, завершивших военную службу.</w:t>
      </w:r>
    </w:p>
    <w:p>
      <w:pPr>
        <w:pStyle w:val="0"/>
        <w:spacing w:before="240" w:line-rule="auto"/>
        <w:ind w:firstLine="540"/>
        <w:jc w:val="both"/>
      </w:pPr>
      <w:r>
        <w:rPr>
          <w:sz w:val="24"/>
        </w:rPr>
        <w:t xml:space="preserve">В указанное количество рабочих мест не включаются рабочие места, сохраненные за работниками на период приостановления действия трудового договора в соответствии со </w:t>
      </w:r>
      <w:hyperlink w:history="0" r:id="rId11" w:tooltip="&quot;Трудовой кодекс Российской Федерации&quot; от 30.12.2001 N 197-ФЗ (ред. от 07.04.2025) ------------ Недействующая редакция {КонсультантПлюс}">
        <w:r>
          <w:rPr>
            <w:sz w:val="24"/>
            <w:color w:val="0000ff"/>
          </w:rPr>
          <w:t xml:space="preserve">статьей 351.7</w:t>
        </w:r>
      </w:hyperlink>
      <w:r>
        <w:rPr>
          <w:sz w:val="24"/>
        </w:rPr>
        <w:t xml:space="preserve"> Трудового кодекса Российской Федерации.</w:t>
      </w:r>
    </w:p>
    <w:p>
      <w:pPr>
        <w:pStyle w:val="0"/>
        <w:spacing w:before="240" w:line-rule="auto"/>
        <w:ind w:firstLine="540"/>
        <w:jc w:val="both"/>
      </w:pPr>
      <w:r>
        <w:rPr>
          <w:sz w:val="24"/>
        </w:rPr>
        <w:t xml:space="preserve">6. При установлении квоты для приема на работу граждан, завершивших военную службу, работодатель вправе в среднесписочную численность работников не включать работников, условия труда на рабочих местах которых отнесены к вредным и (или) опасным условиям труда по результатам специальной оценки условий труда, работников, трудоустроенных на ранее установленные квоты.</w:t>
      </w:r>
    </w:p>
    <w:p>
      <w:pPr>
        <w:pStyle w:val="0"/>
        <w:spacing w:before="240" w:line-rule="auto"/>
        <w:ind w:firstLine="540"/>
        <w:jc w:val="both"/>
      </w:pPr>
      <w:r>
        <w:rPr>
          <w:sz w:val="24"/>
        </w:rPr>
        <w:t xml:space="preserve">7. С целью выделения рабочего места в пределах установленной квоты работодателем ежеквартально до 10 числа месяца, следующего за отчетным кварталом, рассчитывается численность работников, которые должны быть трудоустроены на выделенные рабочие места, исходя из среднесписочной численности работников за предыдущий квартал.</w:t>
      </w:r>
    </w:p>
    <w:p>
      <w:pPr>
        <w:pStyle w:val="0"/>
        <w:spacing w:before="240" w:line-rule="auto"/>
        <w:ind w:firstLine="540"/>
        <w:jc w:val="both"/>
      </w:pPr>
      <w:r>
        <w:rPr>
          <w:sz w:val="24"/>
        </w:rPr>
        <w:t xml:space="preserve">8. Для юридического лица (организации) среднесписочная численность работников определяется за предыдущий квартал без учета работников представительств и филиалов работодателя, расположенных в других субъектах Российской Федерации.</w:t>
      </w:r>
    </w:p>
    <w:p>
      <w:pPr>
        <w:pStyle w:val="0"/>
        <w:spacing w:before="240" w:line-rule="auto"/>
        <w:ind w:firstLine="540"/>
        <w:jc w:val="both"/>
      </w:pPr>
      <w:r>
        <w:rPr>
          <w:sz w:val="24"/>
        </w:rPr>
        <w:t xml:space="preserve">9. Квота устанавливается работодателям со среднесписочной численностью от 35 человек. При расчете численности работников для приема на работу в счет установленной квоты округление дробного числа производится в сторону уменьшения до целого значения. В случае если размер рассчитанной квоты менее единицы значение квоты принимается равным единице.</w:t>
      </w:r>
    </w:p>
    <w:p>
      <w:pPr>
        <w:pStyle w:val="0"/>
        <w:spacing w:before="240" w:line-rule="auto"/>
        <w:ind w:firstLine="540"/>
        <w:jc w:val="both"/>
      </w:pPr>
      <w:r>
        <w:rPr>
          <w:sz w:val="24"/>
        </w:rPr>
        <w:t xml:space="preserve">10. Сведения о вакантных рабочих местах и вакантных должностях для граждан, завершивших военную службу, работодатели размещают на Единой цифровой платформе в сфере занятости и трудовых отношений "Работа в России" или на иных информационных ресурсах, на которых может размещаться такая информация в соответствии с законодательством Российской Федерации.</w:t>
      </w:r>
    </w:p>
    <w:p>
      <w:pPr>
        <w:pStyle w:val="0"/>
        <w:spacing w:before="240" w:line-rule="auto"/>
        <w:ind w:firstLine="540"/>
        <w:jc w:val="both"/>
      </w:pPr>
      <w:r>
        <w:rPr>
          <w:sz w:val="24"/>
        </w:rPr>
        <w:t xml:space="preserve">11. Квота не устанавливается следующим категориям работодателей:</w:t>
      </w:r>
    </w:p>
    <w:p>
      <w:pPr>
        <w:pStyle w:val="0"/>
        <w:spacing w:before="240" w:line-rule="auto"/>
        <w:ind w:firstLine="540"/>
        <w:jc w:val="both"/>
      </w:pPr>
      <w:r>
        <w:rPr>
          <w:sz w:val="24"/>
        </w:rPr>
        <w:t xml:space="preserve">общественным объединениям инвалидов и образованным ими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w:t>
      </w:r>
    </w:p>
    <w:p>
      <w:pPr>
        <w:pStyle w:val="0"/>
        <w:spacing w:before="240" w:line-rule="auto"/>
        <w:ind w:firstLine="540"/>
        <w:jc w:val="both"/>
      </w:pPr>
      <w:r>
        <w:rPr>
          <w:sz w:val="24"/>
        </w:rPr>
        <w:t xml:space="preserve">организациям, в отношении которых возбуждено дело о несостоятельности (банкротстве), в том числе организациям, в отношении которых введены процедуры наблюдения или финансового оздоровления, организациям, признанным несостоятельными (банкротом);</w:t>
      </w:r>
    </w:p>
    <w:p>
      <w:pPr>
        <w:pStyle w:val="0"/>
        <w:spacing w:before="240" w:line-rule="auto"/>
        <w:ind w:firstLine="540"/>
        <w:jc w:val="both"/>
      </w:pPr>
      <w:r>
        <w:rPr>
          <w:sz w:val="24"/>
        </w:rPr>
        <w:t xml:space="preserve">организациям, проводящим или планирующим массовые высвобождения работников.</w:t>
      </w:r>
    </w:p>
    <w:p>
      <w:pPr>
        <w:pStyle w:val="0"/>
        <w:spacing w:before="240" w:line-rule="auto"/>
        <w:ind w:firstLine="540"/>
        <w:jc w:val="both"/>
      </w:pPr>
      <w:r>
        <w:rPr>
          <w:sz w:val="24"/>
        </w:rPr>
        <w:t xml:space="preserve">12. Работодатель освобождается от выполнения установленной квоты при уменьшении численности работников до числа работников, при котором квота не устанавливается.</w:t>
      </w:r>
    </w:p>
    <w:p>
      <w:pPr>
        <w:pStyle w:val="0"/>
        <w:spacing w:before="240" w:line-rule="auto"/>
        <w:ind w:firstLine="540"/>
        <w:jc w:val="both"/>
      </w:pPr>
      <w:r>
        <w:rPr>
          <w:sz w:val="24"/>
        </w:rPr>
        <w:t xml:space="preserve">13. Выполнением квоты считается трудоустройство работодателем гражданина, завершившего военную службу, подтвержденное заключением трудового договора.</w:t>
      </w:r>
    </w:p>
    <w:p>
      <w:pPr>
        <w:pStyle w:val="0"/>
        <w:spacing w:before="240" w:line-rule="auto"/>
        <w:ind w:firstLine="540"/>
        <w:jc w:val="both"/>
      </w:pPr>
      <w:r>
        <w:rPr>
          <w:sz w:val="24"/>
        </w:rPr>
        <w:t xml:space="preserve">14. Работодатели вправе обратиться в центр занятости за содействием в расчете квоты и в подборе работников из числа граждан, завершивших военную службу, на вакантные рабочие места.</w:t>
      </w:r>
    </w:p>
    <w:p>
      <w:pPr>
        <w:pStyle w:val="0"/>
        <w:spacing w:before="240" w:line-rule="auto"/>
        <w:ind w:firstLine="540"/>
        <w:jc w:val="both"/>
      </w:pPr>
      <w:r>
        <w:rPr>
          <w:sz w:val="24"/>
        </w:rPr>
        <w:t xml:space="preserve">15. В случае обращения работодателя в центр занятости указанное учреждение оказывает содействие в расчете квоты и в подборе работников из числа граждан, завершивших военную службу, зарегистрированных в центре занятости в качестве безработных или состоящих на учете в центре занятости в качестве ищущих работу.</w:t>
      </w:r>
    </w:p>
    <w:p>
      <w:pPr>
        <w:pStyle w:val="0"/>
        <w:spacing w:before="240" w:line-rule="auto"/>
        <w:ind w:firstLine="540"/>
        <w:jc w:val="both"/>
      </w:pPr>
      <w:r>
        <w:rPr>
          <w:sz w:val="24"/>
        </w:rPr>
        <w:t xml:space="preserve">16. При отсутствии на учете в центре занятости безработных граждан, завершивших военную службу, и граждан, завершивших военную службу, зарегистрированных в качестве ищущих работу, соответствующих профессионально-квалификационным требованиям к вакансиям, заявленным работодателем, центр занятости информирует работодателя о невозможности выполнения квоты в текущем квартале при содействии центра занятости.</w:t>
      </w:r>
    </w:p>
    <w:p>
      <w:pPr>
        <w:pStyle w:val="0"/>
        <w:spacing w:before="240" w:line-rule="auto"/>
        <w:ind w:firstLine="540"/>
        <w:jc w:val="both"/>
      </w:pPr>
      <w:r>
        <w:rPr>
          <w:sz w:val="24"/>
        </w:rPr>
        <w:t xml:space="preserve">17. Работодатель освобождается от административной ответственности при отсутствии на учете в центре занятости безработных граждан, завершивших военную службу, граждан, завершивших военную службу, зарегистрированных в качестве ищущих работу, а также граждан указанной категории, самостоятельно ищущих работу, соответствующих профессионально-квалификационным требованиям к вакансиям, заявленным работодателем.</w:t>
      </w:r>
    </w:p>
    <w:bookmarkStart w:id="55" w:name="P55"/>
    <w:bookmarkEnd w:id="55"/>
    <w:p>
      <w:pPr>
        <w:pStyle w:val="0"/>
        <w:spacing w:before="240" w:line-rule="auto"/>
        <w:ind w:firstLine="540"/>
        <w:jc w:val="both"/>
      </w:pPr>
      <w:r>
        <w:rPr>
          <w:sz w:val="24"/>
        </w:rPr>
        <w:t xml:space="preserve">18. О выполнении квоты для приема на работу граждан, завершивших военную службу, работодатель обязан информировать центр занятости ежеквартально не позднее десятого числа месяца, следующего за отчетным.</w:t>
      </w:r>
    </w:p>
    <w:p>
      <w:pPr>
        <w:pStyle w:val="0"/>
        <w:spacing w:before="240" w:line-rule="auto"/>
        <w:ind w:firstLine="540"/>
        <w:jc w:val="both"/>
      </w:pPr>
      <w:hyperlink w:history="0" w:anchor="P72" w:tooltip="ИНФОРМАЦИЯ">
        <w:r>
          <w:rPr>
            <w:sz w:val="24"/>
            <w:color w:val="0000ff"/>
          </w:rPr>
          <w:t xml:space="preserve">Информация</w:t>
        </w:r>
      </w:hyperlink>
      <w:r>
        <w:rPr>
          <w:sz w:val="24"/>
        </w:rPr>
        <w:t xml:space="preserve">, предусмотренная </w:t>
      </w:r>
      <w:hyperlink w:history="0" w:anchor="P55" w:tooltip="18. О выполнении квоты для приема на работу граждан, завершивших военную службу, работодатель обязан информировать центр занятости ежеквартально не позднее десятого числа месяца, следующего за отчетным.">
        <w:r>
          <w:rPr>
            <w:sz w:val="24"/>
            <w:color w:val="0000ff"/>
          </w:rPr>
          <w:t xml:space="preserve">первым абзацем</w:t>
        </w:r>
      </w:hyperlink>
      <w:r>
        <w:rPr>
          <w:sz w:val="24"/>
        </w:rPr>
        <w:t xml:space="preserve"> настоящего пункта, представляется работодателями в центр занятости по форме согласно приложению к настоящему Порядку в виде почтового отправления либо в форме электронных документов с использованием информационно-телекоммуникационной сети "Интернет", либо работодателем (уполномоченным представителем работодателя) лично.</w:t>
      </w:r>
    </w:p>
    <w:p>
      <w:pPr>
        <w:pStyle w:val="0"/>
        <w:spacing w:before="240" w:line-rule="auto"/>
        <w:ind w:firstLine="540"/>
        <w:jc w:val="both"/>
      </w:pPr>
      <w:r>
        <w:rPr>
          <w:sz w:val="24"/>
        </w:rPr>
        <w:t xml:space="preserve">Работодатели обеспечивают полноту, достоверность и актуальность информации о выполнении квоты для приема на работу граждан, завершивших военную службу.</w:t>
      </w:r>
    </w:p>
    <w:p>
      <w:pPr>
        <w:pStyle w:val="0"/>
        <w:spacing w:before="240" w:line-rule="auto"/>
        <w:ind w:firstLine="540"/>
        <w:jc w:val="both"/>
      </w:pPr>
      <w:r>
        <w:rPr>
          <w:sz w:val="24"/>
        </w:rPr>
        <w:t xml:space="preserve">19. Невыделение работодателем рабочего места в пределах установленной квоты и невыполнение работодателем квоты для приема на работу граждан, завершивших военную службу, влечет административную ответственность в соответствии с областным законодательством об административных правонарушениях.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выделения работодателем рабочего</w:t>
      </w:r>
    </w:p>
    <w:p>
      <w:pPr>
        <w:pStyle w:val="0"/>
        <w:jc w:val="right"/>
      </w:pPr>
      <w:r>
        <w:rPr>
          <w:sz w:val="24"/>
        </w:rPr>
        <w:t xml:space="preserve">места в пределах установленной квоты</w:t>
      </w:r>
    </w:p>
    <w:p>
      <w:pPr>
        <w:pStyle w:val="0"/>
        <w:jc w:val="right"/>
      </w:pPr>
      <w:r>
        <w:rPr>
          <w:sz w:val="24"/>
        </w:rPr>
        <w:t xml:space="preserve">и выполнения работодателями квоты</w:t>
      </w:r>
    </w:p>
    <w:p>
      <w:pPr>
        <w:pStyle w:val="0"/>
        <w:jc w:val="right"/>
      </w:pPr>
      <w:r>
        <w:rPr>
          <w:sz w:val="24"/>
        </w:rPr>
        <w:t xml:space="preserve">для приема на работу граждан,</w:t>
      </w:r>
    </w:p>
    <w:p>
      <w:pPr>
        <w:pStyle w:val="0"/>
        <w:jc w:val="right"/>
      </w:pPr>
      <w:r>
        <w:rPr>
          <w:sz w:val="24"/>
        </w:rPr>
        <w:t xml:space="preserve">завершивших военную службу</w:t>
      </w:r>
    </w:p>
    <w:p>
      <w:pPr>
        <w:pStyle w:val="0"/>
        <w:jc w:val="both"/>
      </w:pPr>
      <w:r>
        <w:rPr>
          <w:sz w:val="24"/>
        </w:rPr>
      </w:r>
    </w:p>
    <w:tbl>
      <w:tblPr>
        <w:tblInd w:w="0" w:type="dxa"/>
        <w:tblLayout w:type="fixed"/>
        <w:tblCellMar>
          <w:top w:w="102" w:type="dxa"/>
          <w:left w:w="62" w:type="dxa"/>
          <w:bottom w:w="102" w:type="dxa"/>
          <w:right w:w="62" w:type="dxa"/>
        </w:tblCellMar>
      </w:tblPr>
      <w:tblGrid>
        <w:gridCol w:w="842"/>
        <w:gridCol w:w="657"/>
        <w:gridCol w:w="310"/>
        <w:gridCol w:w="1486"/>
        <w:gridCol w:w="136"/>
        <w:gridCol w:w="149"/>
        <w:gridCol w:w="484"/>
        <w:gridCol w:w="1035"/>
        <w:gridCol w:w="1208"/>
        <w:gridCol w:w="781"/>
        <w:gridCol w:w="1983"/>
      </w:tblGrid>
      <w:tr>
        <w:tc>
          <w:tcPr>
            <w:gridSpan w:val="11"/>
            <w:tcW w:w="9071" w:type="dxa"/>
            <w:tcBorders>
              <w:top w:val="nil"/>
              <w:left w:val="nil"/>
              <w:bottom w:val="nil"/>
              <w:right w:val="nil"/>
            </w:tcBorders>
          </w:tcPr>
          <w:bookmarkStart w:id="72" w:name="P72"/>
          <w:bookmarkEnd w:id="72"/>
          <w:p>
            <w:pPr>
              <w:pStyle w:val="0"/>
              <w:jc w:val="center"/>
            </w:pPr>
            <w:r>
              <w:rPr>
                <w:sz w:val="24"/>
              </w:rPr>
              <w:t xml:space="preserve">ИНФОРМАЦИЯ</w:t>
            </w:r>
          </w:p>
          <w:p>
            <w:pPr>
              <w:pStyle w:val="0"/>
              <w:jc w:val="center"/>
            </w:pPr>
            <w:r>
              <w:rPr>
                <w:sz w:val="24"/>
              </w:rPr>
              <w:t xml:space="preserve">о выполнении квоты для приема на работу граждан, завершивших военную службу</w:t>
            </w:r>
          </w:p>
        </w:tc>
      </w:tr>
      <w:tr>
        <w:tblPrEx>
          <w:tblBorders>
            <w:insideV w:val="single" w:sz="4"/>
          </w:tblBorders>
        </w:tblPrEx>
        <w:tc>
          <w:tcPr>
            <w:gridSpan w:val="2"/>
            <w:tcW w:w="1499" w:type="dxa"/>
            <w:tcBorders>
              <w:top w:val="nil"/>
              <w:left w:val="nil"/>
              <w:bottom w:val="nil"/>
            </w:tcBorders>
          </w:tcPr>
          <w:p>
            <w:pPr>
              <w:pStyle w:val="0"/>
            </w:pPr>
            <w:r>
              <w:rPr>
                <w:sz w:val="24"/>
              </w:rPr>
            </w:r>
          </w:p>
        </w:tc>
        <w:tc>
          <w:tcPr>
            <w:gridSpan w:val="8"/>
            <w:tcW w:w="5589" w:type="dxa"/>
            <w:tcBorders>
              <w:top w:val="single" w:sz="4"/>
              <w:bottom w:val="single" w:sz="4"/>
            </w:tcBorders>
          </w:tcPr>
          <w:p>
            <w:pPr>
              <w:pStyle w:val="0"/>
            </w:pPr>
            <w:r>
              <w:rPr>
                <w:sz w:val="24"/>
              </w:rPr>
            </w:r>
          </w:p>
        </w:tc>
        <w:tc>
          <w:tcPr>
            <w:tcW w:w="1983" w:type="dxa"/>
            <w:tcBorders>
              <w:top w:val="nil"/>
              <w:bottom w:val="nil"/>
              <w:right w:val="nil"/>
            </w:tcBorders>
          </w:tcPr>
          <w:p>
            <w:pPr>
              <w:pStyle w:val="0"/>
            </w:pPr>
            <w:r>
              <w:rPr>
                <w:sz w:val="24"/>
              </w:rPr>
            </w:r>
          </w:p>
        </w:tc>
      </w:tr>
      <w:tr>
        <w:tc>
          <w:tcPr>
            <w:gridSpan w:val="2"/>
            <w:tcW w:w="1499" w:type="dxa"/>
            <w:tcBorders>
              <w:top w:val="nil"/>
              <w:left w:val="nil"/>
              <w:bottom w:val="nil"/>
              <w:right w:val="nil"/>
            </w:tcBorders>
          </w:tcPr>
          <w:p>
            <w:pPr>
              <w:pStyle w:val="0"/>
            </w:pPr>
            <w:r>
              <w:rPr>
                <w:sz w:val="24"/>
              </w:rPr>
            </w:r>
          </w:p>
        </w:tc>
        <w:tc>
          <w:tcPr>
            <w:gridSpan w:val="8"/>
            <w:tcW w:w="5589" w:type="dxa"/>
            <w:tcBorders>
              <w:top w:val="single" w:sz="4"/>
              <w:left w:val="nil"/>
              <w:bottom w:val="nil"/>
              <w:right w:val="nil"/>
            </w:tcBorders>
          </w:tcPr>
          <w:p>
            <w:pPr>
              <w:pStyle w:val="0"/>
              <w:jc w:val="center"/>
            </w:pPr>
            <w:r>
              <w:rPr>
                <w:sz w:val="24"/>
              </w:rPr>
              <w:t xml:space="preserve">отчетный период</w:t>
            </w:r>
          </w:p>
        </w:tc>
        <w:tc>
          <w:tcPr>
            <w:tcW w:w="1983" w:type="dxa"/>
            <w:tcBorders>
              <w:top w:val="nil"/>
              <w:left w:val="nil"/>
              <w:bottom w:val="nil"/>
              <w:right w:val="nil"/>
            </w:tcBorders>
          </w:tcPr>
          <w:p>
            <w:pPr>
              <w:pStyle w:val="0"/>
            </w:pPr>
            <w:r>
              <w:rPr>
                <w:sz w:val="24"/>
              </w:rPr>
            </w:r>
          </w:p>
        </w:tc>
      </w:tr>
      <w:tr>
        <w:tc>
          <w:tcPr>
            <w:gridSpan w:val="11"/>
            <w:tcW w:w="9071" w:type="dxa"/>
            <w:tcBorders>
              <w:top w:val="nil"/>
              <w:left w:val="nil"/>
              <w:bottom w:val="nil"/>
              <w:right w:val="nil"/>
            </w:tcBorders>
          </w:tcPr>
          <w:p>
            <w:pPr>
              <w:pStyle w:val="0"/>
              <w:ind w:firstLine="283"/>
              <w:jc w:val="both"/>
            </w:pPr>
            <w:r>
              <w:rPr>
                <w:sz w:val="24"/>
              </w:rPr>
              <w:t xml:space="preserve">1. Полное наименование организации/фамилия, имя, отчество (при наличии)</w:t>
            </w:r>
          </w:p>
        </w:tc>
      </w:tr>
      <w:tr>
        <w:tc>
          <w:tcPr>
            <w:gridSpan w:val="7"/>
            <w:tcW w:w="4064" w:type="dxa"/>
            <w:tcBorders>
              <w:top w:val="nil"/>
              <w:left w:val="nil"/>
              <w:bottom w:val="nil"/>
              <w:right w:val="nil"/>
            </w:tcBorders>
          </w:tcPr>
          <w:p>
            <w:pPr>
              <w:pStyle w:val="0"/>
            </w:pPr>
            <w:r>
              <w:rPr>
                <w:sz w:val="24"/>
              </w:rPr>
              <w:t xml:space="preserve">индивидуального предпринимателя</w:t>
            </w:r>
          </w:p>
        </w:tc>
        <w:tc>
          <w:tcPr>
            <w:gridSpan w:val="4"/>
            <w:tcW w:w="5007" w:type="dxa"/>
            <w:vAlign w:val="bottom"/>
            <w:tcBorders>
              <w:top w:val="nil"/>
              <w:left w:val="nil"/>
              <w:bottom w:val="single" w:sz="4"/>
              <w:right w:val="nil"/>
            </w:tcBorders>
          </w:tcPr>
          <w:p>
            <w:pPr>
              <w:pStyle w:val="0"/>
              <w:jc w:val="right"/>
            </w:pPr>
            <w:r>
              <w:rPr>
                <w:sz w:val="24"/>
              </w:rPr>
              <w:t xml:space="preserve">.</w:t>
            </w:r>
          </w:p>
        </w:tc>
      </w:tr>
      <w:tr>
        <w:tc>
          <w:tcPr>
            <w:gridSpan w:val="9"/>
            <w:tcW w:w="6307" w:type="dxa"/>
            <w:tcBorders>
              <w:top w:val="nil"/>
              <w:left w:val="nil"/>
              <w:bottom w:val="nil"/>
              <w:right w:val="nil"/>
            </w:tcBorders>
          </w:tcPr>
          <w:p>
            <w:pPr>
              <w:pStyle w:val="0"/>
              <w:ind w:firstLine="283"/>
              <w:jc w:val="both"/>
            </w:pPr>
            <w:r>
              <w:rPr>
                <w:sz w:val="24"/>
              </w:rPr>
              <w:t xml:space="preserve">2. Индивидуальный номер налогоплательщика (ИНН)</w:t>
            </w:r>
          </w:p>
        </w:tc>
        <w:tc>
          <w:tcPr>
            <w:gridSpan w:val="2"/>
            <w:tcW w:w="2764" w:type="dxa"/>
            <w:vAlign w:val="bottom"/>
            <w:tcBorders>
              <w:top w:val="single" w:sz="4"/>
              <w:left w:val="nil"/>
              <w:bottom w:val="single" w:sz="4"/>
              <w:right w:val="nil"/>
            </w:tcBorders>
          </w:tcPr>
          <w:p>
            <w:pPr>
              <w:pStyle w:val="0"/>
              <w:jc w:val="right"/>
            </w:pPr>
            <w:r>
              <w:rPr>
                <w:sz w:val="24"/>
              </w:rPr>
              <w:t xml:space="preserve">.</w:t>
            </w:r>
          </w:p>
        </w:tc>
      </w:tr>
      <w:tr>
        <w:tc>
          <w:tcPr>
            <w:gridSpan w:val="8"/>
            <w:tcW w:w="5099" w:type="dxa"/>
            <w:tcBorders>
              <w:top w:val="nil"/>
              <w:left w:val="nil"/>
              <w:bottom w:val="nil"/>
              <w:right w:val="nil"/>
            </w:tcBorders>
          </w:tcPr>
          <w:p>
            <w:pPr>
              <w:pStyle w:val="0"/>
              <w:ind w:firstLine="283"/>
              <w:jc w:val="both"/>
            </w:pPr>
            <w:r>
              <w:rPr>
                <w:sz w:val="24"/>
              </w:rPr>
              <w:t xml:space="preserve">3. Код причины постановки на учет (КПП)</w:t>
            </w:r>
          </w:p>
        </w:tc>
        <w:tc>
          <w:tcPr>
            <w:gridSpan w:val="3"/>
            <w:tcW w:w="3972" w:type="dxa"/>
            <w:vAlign w:val="bottom"/>
            <w:tcBorders>
              <w:top w:val="nil"/>
              <w:left w:val="nil"/>
              <w:bottom w:val="single" w:sz="4"/>
              <w:right w:val="nil"/>
            </w:tcBorders>
          </w:tcPr>
          <w:p>
            <w:pPr>
              <w:pStyle w:val="0"/>
              <w:jc w:val="right"/>
            </w:pPr>
            <w:r>
              <w:rPr>
                <w:sz w:val="24"/>
              </w:rPr>
              <w:t xml:space="preserve">.</w:t>
            </w:r>
          </w:p>
        </w:tc>
      </w:tr>
      <w:tr>
        <w:tc>
          <w:tcPr>
            <w:gridSpan w:val="11"/>
            <w:tcW w:w="9071" w:type="dxa"/>
            <w:tcBorders>
              <w:top w:val="nil"/>
              <w:left w:val="nil"/>
              <w:bottom w:val="nil"/>
              <w:right w:val="nil"/>
            </w:tcBorders>
          </w:tcPr>
          <w:p>
            <w:pPr>
              <w:pStyle w:val="0"/>
              <w:ind w:firstLine="283"/>
              <w:jc w:val="both"/>
            </w:pPr>
            <w:r>
              <w:rPr>
                <w:sz w:val="24"/>
              </w:rPr>
              <w:t xml:space="preserve">4. Адрес в пределах места нахождения организации/адрес места жительства индивидуального предпринимателя:</w:t>
            </w:r>
          </w:p>
        </w:tc>
      </w:tr>
      <w:tr>
        <w:tc>
          <w:tcPr>
            <w:gridSpan w:val="6"/>
            <w:tcW w:w="3580" w:type="dxa"/>
            <w:tcBorders>
              <w:top w:val="nil"/>
              <w:left w:val="nil"/>
              <w:bottom w:val="nil"/>
              <w:right w:val="nil"/>
            </w:tcBorders>
          </w:tcPr>
          <w:p>
            <w:pPr>
              <w:pStyle w:val="0"/>
              <w:ind w:firstLine="283"/>
              <w:jc w:val="both"/>
            </w:pPr>
            <w:r>
              <w:rPr>
                <w:sz w:val="24"/>
              </w:rPr>
              <w:t xml:space="preserve">4.1. Район, населенный пункт</w:t>
            </w:r>
          </w:p>
        </w:tc>
        <w:tc>
          <w:tcPr>
            <w:gridSpan w:val="5"/>
            <w:tcW w:w="5491" w:type="dxa"/>
            <w:vAlign w:val="bottom"/>
            <w:tcBorders>
              <w:top w:val="nil"/>
              <w:left w:val="nil"/>
              <w:bottom w:val="single" w:sz="4"/>
              <w:right w:val="nil"/>
            </w:tcBorders>
          </w:tcPr>
          <w:p>
            <w:pPr>
              <w:pStyle w:val="0"/>
              <w:jc w:val="right"/>
            </w:pPr>
            <w:r>
              <w:rPr>
                <w:sz w:val="24"/>
              </w:rPr>
              <w:t xml:space="preserve">;</w:t>
            </w:r>
          </w:p>
        </w:tc>
      </w:tr>
      <w:tr>
        <w:tc>
          <w:tcPr>
            <w:gridSpan w:val="2"/>
            <w:tcW w:w="1499" w:type="dxa"/>
            <w:tcBorders>
              <w:top w:val="nil"/>
              <w:left w:val="nil"/>
              <w:bottom w:val="nil"/>
              <w:right w:val="nil"/>
            </w:tcBorders>
          </w:tcPr>
          <w:p>
            <w:pPr>
              <w:pStyle w:val="0"/>
              <w:ind w:firstLine="283"/>
              <w:jc w:val="both"/>
            </w:pPr>
            <w:r>
              <w:rPr>
                <w:sz w:val="24"/>
              </w:rPr>
              <w:t xml:space="preserve">4.2. Улица</w:t>
            </w:r>
          </w:p>
        </w:tc>
        <w:tc>
          <w:tcPr>
            <w:gridSpan w:val="9"/>
            <w:tcW w:w="7572" w:type="dxa"/>
            <w:vAlign w:val="bottom"/>
            <w:tcBorders>
              <w:top w:val="nil"/>
              <w:left w:val="nil"/>
              <w:bottom w:val="single" w:sz="4"/>
              <w:right w:val="nil"/>
            </w:tcBorders>
          </w:tcPr>
          <w:p>
            <w:pPr>
              <w:pStyle w:val="0"/>
              <w:jc w:val="right"/>
            </w:pPr>
            <w:r>
              <w:rPr>
                <w:sz w:val="24"/>
              </w:rPr>
              <w:t xml:space="preserve">;</w:t>
            </w:r>
          </w:p>
        </w:tc>
      </w:tr>
      <w:tr>
        <w:tc>
          <w:tcPr>
            <w:gridSpan w:val="4"/>
            <w:tcW w:w="3295" w:type="dxa"/>
            <w:tcBorders>
              <w:top w:val="nil"/>
              <w:left w:val="nil"/>
              <w:bottom w:val="nil"/>
              <w:right w:val="nil"/>
            </w:tcBorders>
          </w:tcPr>
          <w:p>
            <w:pPr>
              <w:pStyle w:val="0"/>
              <w:ind w:firstLine="283"/>
              <w:jc w:val="both"/>
            </w:pPr>
            <w:r>
              <w:rPr>
                <w:sz w:val="24"/>
              </w:rPr>
              <w:t xml:space="preserve">4.3. Дом, корпус, строение</w:t>
            </w:r>
          </w:p>
        </w:tc>
        <w:tc>
          <w:tcPr>
            <w:gridSpan w:val="7"/>
            <w:tcW w:w="5776" w:type="dxa"/>
            <w:vAlign w:val="bottom"/>
            <w:tcBorders>
              <w:top w:val="single" w:sz="4"/>
              <w:left w:val="nil"/>
              <w:bottom w:val="single" w:sz="4"/>
              <w:right w:val="nil"/>
            </w:tcBorders>
          </w:tcPr>
          <w:p>
            <w:pPr>
              <w:pStyle w:val="0"/>
              <w:jc w:val="right"/>
            </w:pPr>
            <w:r>
              <w:rPr>
                <w:sz w:val="24"/>
              </w:rPr>
              <w:t xml:space="preserve">;</w:t>
            </w:r>
          </w:p>
        </w:tc>
      </w:tr>
      <w:tr>
        <w:tc>
          <w:tcPr>
            <w:gridSpan w:val="5"/>
            <w:tcW w:w="3431" w:type="dxa"/>
            <w:tcBorders>
              <w:top w:val="nil"/>
              <w:left w:val="nil"/>
              <w:bottom w:val="nil"/>
              <w:right w:val="nil"/>
            </w:tcBorders>
          </w:tcPr>
          <w:p>
            <w:pPr>
              <w:pStyle w:val="0"/>
              <w:ind w:firstLine="283"/>
              <w:jc w:val="both"/>
            </w:pPr>
            <w:r>
              <w:rPr>
                <w:sz w:val="24"/>
              </w:rPr>
              <w:t xml:space="preserve">4.4. Номер офиса, квартиры</w:t>
            </w:r>
          </w:p>
        </w:tc>
        <w:tc>
          <w:tcPr>
            <w:gridSpan w:val="6"/>
            <w:tcW w:w="5640" w:type="dxa"/>
            <w:vAlign w:val="bottom"/>
            <w:tcBorders>
              <w:top w:val="single" w:sz="4"/>
              <w:left w:val="nil"/>
              <w:bottom w:val="single" w:sz="4"/>
              <w:right w:val="nil"/>
            </w:tcBorders>
          </w:tcPr>
          <w:p>
            <w:pPr>
              <w:pStyle w:val="0"/>
              <w:jc w:val="right"/>
            </w:pPr>
            <w:r>
              <w:rPr>
                <w:sz w:val="24"/>
              </w:rPr>
              <w:t xml:space="preserve">.</w:t>
            </w:r>
          </w:p>
        </w:tc>
      </w:tr>
      <w:tr>
        <w:tc>
          <w:tcPr>
            <w:gridSpan w:val="11"/>
            <w:tcW w:w="9071" w:type="dxa"/>
            <w:tcBorders>
              <w:top w:val="nil"/>
              <w:left w:val="nil"/>
              <w:bottom w:val="nil"/>
              <w:right w:val="nil"/>
            </w:tcBorders>
          </w:tcPr>
          <w:p>
            <w:pPr>
              <w:pStyle w:val="0"/>
              <w:ind w:firstLine="283"/>
              <w:jc w:val="both"/>
            </w:pPr>
            <w:r>
              <w:rPr>
                <w:sz w:val="24"/>
              </w:rPr>
              <w:t xml:space="preserve">5. Место осуществления трудовой деятельности работниками:</w:t>
            </w:r>
          </w:p>
        </w:tc>
      </w:tr>
      <w:tr>
        <w:tc>
          <w:tcPr>
            <w:gridSpan w:val="6"/>
            <w:tcW w:w="3580" w:type="dxa"/>
            <w:tcBorders>
              <w:top w:val="nil"/>
              <w:left w:val="nil"/>
              <w:bottom w:val="nil"/>
              <w:right w:val="nil"/>
            </w:tcBorders>
          </w:tcPr>
          <w:p>
            <w:pPr>
              <w:pStyle w:val="0"/>
              <w:ind w:firstLine="283"/>
              <w:jc w:val="both"/>
            </w:pPr>
            <w:r>
              <w:rPr>
                <w:sz w:val="24"/>
              </w:rPr>
              <w:t xml:space="preserve">5.1. Район, населенный пункт</w:t>
            </w:r>
          </w:p>
        </w:tc>
        <w:tc>
          <w:tcPr>
            <w:gridSpan w:val="5"/>
            <w:tcW w:w="5491" w:type="dxa"/>
            <w:vAlign w:val="bottom"/>
            <w:tcBorders>
              <w:top w:val="nil"/>
              <w:left w:val="nil"/>
              <w:bottom w:val="single" w:sz="4"/>
              <w:right w:val="nil"/>
            </w:tcBorders>
          </w:tcPr>
          <w:p>
            <w:pPr>
              <w:pStyle w:val="0"/>
              <w:jc w:val="right"/>
            </w:pPr>
            <w:r>
              <w:rPr>
                <w:sz w:val="24"/>
              </w:rPr>
              <w:t xml:space="preserve">;</w:t>
            </w:r>
          </w:p>
        </w:tc>
      </w:tr>
      <w:tr>
        <w:tc>
          <w:tcPr>
            <w:gridSpan w:val="11"/>
            <w:tcW w:w="9071" w:type="dxa"/>
            <w:tcBorders>
              <w:top w:val="nil"/>
              <w:left w:val="nil"/>
              <w:bottom w:val="nil"/>
              <w:right w:val="nil"/>
            </w:tcBorders>
          </w:tcPr>
          <w:p>
            <w:pPr>
              <w:pStyle w:val="0"/>
              <w:ind w:firstLine="283"/>
              <w:jc w:val="both"/>
            </w:pPr>
            <w:r>
              <w:rPr>
                <w:sz w:val="24"/>
              </w:rPr>
              <w:t xml:space="preserve">5.2. Наименование филиала, представительства организации (при наличии)</w:t>
            </w:r>
          </w:p>
        </w:tc>
      </w:tr>
      <w:tr>
        <w:tc>
          <w:tcPr>
            <w:gridSpan w:val="11"/>
            <w:tcW w:w="9071" w:type="dxa"/>
            <w:vAlign w:val="bottom"/>
            <w:tcBorders>
              <w:top w:val="nil"/>
              <w:left w:val="nil"/>
              <w:bottom w:val="single" w:sz="4"/>
              <w:right w:val="nil"/>
            </w:tcBorders>
          </w:tcPr>
          <w:p>
            <w:pPr>
              <w:pStyle w:val="0"/>
              <w:jc w:val="right"/>
            </w:pPr>
            <w:r>
              <w:rPr>
                <w:sz w:val="24"/>
              </w:rPr>
              <w:t xml:space="preserve">.</w:t>
            </w:r>
          </w:p>
        </w:tc>
      </w:tr>
      <w:tr>
        <w:tc>
          <w:tcPr>
            <w:gridSpan w:val="11"/>
            <w:tcW w:w="9071" w:type="dxa"/>
            <w:tcBorders>
              <w:top w:val="single" w:sz="4"/>
              <w:left w:val="nil"/>
              <w:bottom w:val="nil"/>
              <w:right w:val="nil"/>
            </w:tcBorders>
          </w:tcPr>
          <w:p>
            <w:pPr>
              <w:pStyle w:val="0"/>
              <w:ind w:firstLine="283"/>
              <w:jc w:val="both"/>
            </w:pPr>
            <w:r>
              <w:rPr>
                <w:sz w:val="24"/>
              </w:rPr>
              <w:t xml:space="preserve">6. Наименование государственного учреждения службы занятости, в которое представляется информация (по месту осуществления трудовой деятельности работниками).</w:t>
            </w:r>
          </w:p>
        </w:tc>
      </w:tr>
      <w:tr>
        <w:tc>
          <w:tcPr>
            <w:gridSpan w:val="11"/>
            <w:tcW w:w="9071" w:type="dxa"/>
            <w:tcBorders>
              <w:top w:val="nil"/>
              <w:left w:val="nil"/>
              <w:bottom w:val="nil"/>
              <w:right w:val="nil"/>
            </w:tcBorders>
          </w:tcPr>
          <w:p>
            <w:pPr>
              <w:pStyle w:val="0"/>
              <w:ind w:firstLine="283"/>
              <w:jc w:val="both"/>
            </w:pPr>
            <w:r>
              <w:rPr>
                <w:sz w:val="24"/>
              </w:rPr>
              <w:t xml:space="preserve">7. Среднесписочная численность работников за предыдущий квартал (без учета работников, условия труда которых отнесены к вредным и (или) опасным условиям труда по результатам специальной оценки условий труда) &lt;1&gt;, - ___________ человек.</w:t>
            </w:r>
          </w:p>
        </w:tc>
      </w:tr>
      <w:tr>
        <w:tc>
          <w:tcPr>
            <w:gridSpan w:val="11"/>
            <w:tcW w:w="9071" w:type="dxa"/>
            <w:tcBorders>
              <w:top w:val="nil"/>
              <w:left w:val="nil"/>
              <w:bottom w:val="nil"/>
              <w:right w:val="nil"/>
            </w:tcBorders>
          </w:tcPr>
          <w:p>
            <w:pPr>
              <w:pStyle w:val="0"/>
              <w:ind w:firstLine="283"/>
              <w:jc w:val="both"/>
            </w:pPr>
            <w:r>
              <w:rPr>
                <w:sz w:val="24"/>
              </w:rPr>
              <w:t xml:space="preserve">8. Среднесписочная численность работников за прошедший месяц (без учета работников, условия труда которых отнесены к вредным и (или) опасным условиям труда по результатам специальной оценки условий труда) ___________, - человек &lt;1&gt;, &lt;2&gt;.</w:t>
            </w:r>
          </w:p>
        </w:tc>
      </w:tr>
      <w:tr>
        <w:tc>
          <w:tcPr>
            <w:gridSpan w:val="11"/>
            <w:tcW w:w="9071" w:type="dxa"/>
            <w:tcBorders>
              <w:top w:val="nil"/>
              <w:left w:val="nil"/>
              <w:bottom w:val="nil"/>
              <w:right w:val="nil"/>
            </w:tcBorders>
          </w:tcPr>
          <w:p>
            <w:pPr>
              <w:pStyle w:val="0"/>
              <w:ind w:firstLine="283"/>
              <w:jc w:val="both"/>
            </w:pPr>
            <w:r>
              <w:rPr>
                <w:sz w:val="24"/>
              </w:rPr>
              <w:t xml:space="preserve">9. Размер квоты для приема на работу граждан, завершивших военную службу, установленной законодательством субъекта Российской Федерации, - ___________ человек.</w:t>
            </w:r>
          </w:p>
        </w:tc>
      </w:tr>
      <w:tr>
        <w:tc>
          <w:tcPr>
            <w:gridSpan w:val="11"/>
            <w:tcW w:w="9071" w:type="dxa"/>
            <w:tcBorders>
              <w:top w:val="nil"/>
              <w:left w:val="nil"/>
              <w:bottom w:val="nil"/>
              <w:right w:val="nil"/>
            </w:tcBorders>
          </w:tcPr>
          <w:p>
            <w:pPr>
              <w:pStyle w:val="0"/>
              <w:ind w:firstLine="283"/>
              <w:jc w:val="both"/>
            </w:pPr>
            <w:r>
              <w:rPr>
                <w:sz w:val="24"/>
              </w:rPr>
              <w:t xml:space="preserve">10. Численность работников, работавших в счет квоты в отчетном периоде, всего - ___________ человек.</w:t>
            </w:r>
          </w:p>
        </w:tc>
      </w:tr>
      <w:tr>
        <w:tc>
          <w:tcPr>
            <w:gridSpan w:val="11"/>
            <w:tcW w:w="9071" w:type="dxa"/>
            <w:tcBorders>
              <w:top w:val="nil"/>
              <w:left w:val="nil"/>
              <w:bottom w:val="nil"/>
              <w:right w:val="nil"/>
            </w:tcBorders>
          </w:tcPr>
          <w:p>
            <w:pPr>
              <w:pStyle w:val="0"/>
              <w:ind w:firstLine="283"/>
              <w:jc w:val="both"/>
            </w:pPr>
            <w:r>
              <w:rPr>
                <w:sz w:val="24"/>
              </w:rPr>
              <w:t xml:space="preserve">11. Численность граждан, завершивших военную службу, работающих сверх установленной квоты на конец отчетного периода, - ________ человек.</w:t>
            </w:r>
          </w:p>
        </w:tc>
      </w:tr>
      <w:tr>
        <w:tc>
          <w:tcPr>
            <w:gridSpan w:val="11"/>
            <w:tcW w:w="9071" w:type="dxa"/>
            <w:tcBorders>
              <w:top w:val="nil"/>
              <w:left w:val="nil"/>
              <w:bottom w:val="nil"/>
              <w:right w:val="nil"/>
            </w:tcBorders>
          </w:tcPr>
          <w:p>
            <w:pPr>
              <w:pStyle w:val="0"/>
            </w:pPr>
            <w:r>
              <w:rPr>
                <w:sz w:val="24"/>
              </w:rPr>
            </w:r>
          </w:p>
        </w:tc>
      </w:tr>
      <w:tr>
        <w:tc>
          <w:tcPr>
            <w:gridSpan w:val="3"/>
            <w:tcW w:w="1809" w:type="dxa"/>
            <w:tcBorders>
              <w:top w:val="nil"/>
              <w:left w:val="nil"/>
              <w:bottom w:val="nil"/>
              <w:right w:val="nil"/>
            </w:tcBorders>
          </w:tcPr>
          <w:p>
            <w:pPr>
              <w:pStyle w:val="0"/>
              <w:jc w:val="both"/>
            </w:pPr>
            <w:r>
              <w:rPr>
                <w:sz w:val="24"/>
              </w:rPr>
              <w:t xml:space="preserve">Исполнитель</w:t>
            </w:r>
          </w:p>
        </w:tc>
        <w:tc>
          <w:tcPr>
            <w:gridSpan w:val="8"/>
            <w:tcW w:w="7262" w:type="dxa"/>
            <w:tcBorders>
              <w:top w:val="nil"/>
              <w:left w:val="nil"/>
              <w:bottom w:val="single" w:sz="4"/>
              <w:right w:val="nil"/>
            </w:tcBorders>
          </w:tcPr>
          <w:p>
            <w:pPr>
              <w:pStyle w:val="0"/>
            </w:pPr>
            <w:r>
              <w:rPr>
                <w:sz w:val="24"/>
              </w:rPr>
            </w:r>
          </w:p>
        </w:tc>
      </w:tr>
      <w:tr>
        <w:tc>
          <w:tcPr>
            <w:gridSpan w:val="3"/>
            <w:tcW w:w="1809" w:type="dxa"/>
            <w:tcBorders>
              <w:top w:val="nil"/>
              <w:left w:val="nil"/>
              <w:bottom w:val="nil"/>
              <w:right w:val="nil"/>
            </w:tcBorders>
          </w:tcPr>
          <w:p>
            <w:pPr>
              <w:pStyle w:val="0"/>
            </w:pPr>
            <w:r>
              <w:rPr>
                <w:sz w:val="24"/>
              </w:rPr>
            </w:r>
          </w:p>
        </w:tc>
        <w:tc>
          <w:tcPr>
            <w:gridSpan w:val="8"/>
            <w:tcW w:w="7262" w:type="dxa"/>
            <w:tcBorders>
              <w:top w:val="single" w:sz="4"/>
              <w:left w:val="nil"/>
              <w:bottom w:val="nil"/>
              <w:right w:val="nil"/>
            </w:tcBorders>
          </w:tcPr>
          <w:p>
            <w:pPr>
              <w:pStyle w:val="0"/>
              <w:jc w:val="center"/>
            </w:pPr>
            <w:r>
              <w:rPr>
                <w:sz w:val="24"/>
              </w:rPr>
              <w:t xml:space="preserve">(Ф.И.О., должность, контактный телефон)</w:t>
            </w:r>
          </w:p>
        </w:tc>
      </w:tr>
      <w:tr>
        <w:tc>
          <w:tcPr>
            <w:gridSpan w:val="3"/>
            <w:tcW w:w="1809" w:type="dxa"/>
            <w:tcBorders>
              <w:top w:val="nil"/>
              <w:left w:val="nil"/>
              <w:bottom w:val="nil"/>
              <w:right w:val="nil"/>
            </w:tcBorders>
          </w:tcPr>
          <w:p>
            <w:pPr>
              <w:pStyle w:val="0"/>
              <w:jc w:val="both"/>
            </w:pPr>
            <w:r>
              <w:rPr>
                <w:sz w:val="24"/>
              </w:rPr>
              <w:t xml:space="preserve">Руководитель</w:t>
            </w:r>
          </w:p>
        </w:tc>
        <w:tc>
          <w:tcPr>
            <w:gridSpan w:val="8"/>
            <w:tcW w:w="7262" w:type="dxa"/>
            <w:tcBorders>
              <w:top w:val="nil"/>
              <w:left w:val="nil"/>
              <w:bottom w:val="single" w:sz="4"/>
              <w:right w:val="nil"/>
            </w:tcBorders>
          </w:tcPr>
          <w:p>
            <w:pPr>
              <w:pStyle w:val="0"/>
            </w:pPr>
            <w:r>
              <w:rPr>
                <w:sz w:val="24"/>
              </w:rPr>
            </w:r>
          </w:p>
        </w:tc>
      </w:tr>
      <w:tr>
        <w:tc>
          <w:tcPr>
            <w:gridSpan w:val="3"/>
            <w:tcW w:w="1809" w:type="dxa"/>
            <w:tcBorders>
              <w:top w:val="nil"/>
              <w:left w:val="nil"/>
              <w:bottom w:val="nil"/>
              <w:right w:val="nil"/>
            </w:tcBorders>
          </w:tcPr>
          <w:p>
            <w:pPr>
              <w:pStyle w:val="0"/>
            </w:pPr>
            <w:r>
              <w:rPr>
                <w:sz w:val="24"/>
              </w:rPr>
            </w:r>
          </w:p>
        </w:tc>
        <w:tc>
          <w:tcPr>
            <w:gridSpan w:val="8"/>
            <w:tcW w:w="7262" w:type="dxa"/>
            <w:tcBorders>
              <w:top w:val="single" w:sz="4"/>
              <w:left w:val="nil"/>
              <w:bottom w:val="nil"/>
              <w:right w:val="nil"/>
            </w:tcBorders>
          </w:tcPr>
          <w:p>
            <w:pPr>
              <w:pStyle w:val="0"/>
              <w:jc w:val="center"/>
            </w:pPr>
            <w:r>
              <w:rPr>
                <w:sz w:val="24"/>
              </w:rPr>
              <w:t xml:space="preserve">(подпись, Ф.И.О.)</w:t>
            </w:r>
          </w:p>
        </w:tc>
      </w:tr>
      <w:tr>
        <w:tc>
          <w:tcPr>
            <w:gridSpan w:val="11"/>
            <w:tcW w:w="9071" w:type="dxa"/>
            <w:tcBorders>
              <w:top w:val="nil"/>
              <w:left w:val="nil"/>
              <w:bottom w:val="nil"/>
              <w:right w:val="nil"/>
            </w:tcBorders>
          </w:tcPr>
          <w:p>
            <w:pPr>
              <w:pStyle w:val="0"/>
            </w:pPr>
            <w:r>
              <w:rPr>
                <w:sz w:val="24"/>
              </w:rPr>
              <w:t xml:space="preserve">"___" _____________ 20___ года</w:t>
            </w:r>
          </w:p>
        </w:tc>
      </w:tr>
      <w:tr>
        <w:tc>
          <w:tcPr>
            <w:tcW w:w="842" w:type="dxa"/>
            <w:tcBorders>
              <w:top w:val="nil"/>
              <w:left w:val="nil"/>
              <w:bottom w:val="nil"/>
              <w:right w:val="nil"/>
            </w:tcBorders>
          </w:tcPr>
          <w:p>
            <w:pPr>
              <w:pStyle w:val="0"/>
            </w:pPr>
            <w:r>
              <w:rPr>
                <w:sz w:val="24"/>
              </w:rPr>
            </w:r>
          </w:p>
        </w:tc>
        <w:tc>
          <w:tcPr>
            <w:gridSpan w:val="4"/>
            <w:tcW w:w="2589" w:type="dxa"/>
            <w:tcBorders>
              <w:top w:val="nil"/>
              <w:left w:val="nil"/>
              <w:bottom w:val="nil"/>
              <w:right w:val="nil"/>
            </w:tcBorders>
          </w:tcPr>
          <w:p>
            <w:pPr>
              <w:pStyle w:val="0"/>
              <w:jc w:val="center"/>
            </w:pPr>
            <w:r>
              <w:rPr>
                <w:sz w:val="24"/>
              </w:rPr>
              <w:t xml:space="preserve">М.П.</w:t>
            </w:r>
          </w:p>
          <w:p>
            <w:pPr>
              <w:pStyle w:val="0"/>
              <w:jc w:val="center"/>
            </w:pPr>
            <w:r>
              <w:rPr>
                <w:sz w:val="24"/>
              </w:rPr>
              <w:t xml:space="preserve">(при наличии)</w:t>
            </w:r>
          </w:p>
        </w:tc>
        <w:tc>
          <w:tcPr>
            <w:gridSpan w:val="6"/>
            <w:tcW w:w="5640" w:type="dxa"/>
            <w:tcBorders>
              <w:top w:val="nil"/>
              <w:left w:val="nil"/>
              <w:bottom w:val="nil"/>
              <w:right w:val="nil"/>
            </w:tcBorders>
          </w:tcPr>
          <w:p>
            <w:pPr>
              <w:pStyle w:val="0"/>
            </w:pPr>
            <w:r>
              <w:rPr>
                <w:sz w:val="24"/>
              </w:rPr>
            </w:r>
          </w:p>
        </w:tc>
      </w:tr>
      <w:tr>
        <w:tc>
          <w:tcPr>
            <w:gridSpan w:val="11"/>
            <w:tcW w:w="9071"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 без учета работников представительств и филиалов работодателя, которые расположены в других субъектах Российской Федерации.</w:t>
            </w:r>
          </w:p>
          <w:p>
            <w:pPr>
              <w:pStyle w:val="0"/>
              <w:ind w:firstLine="283"/>
              <w:jc w:val="both"/>
            </w:pPr>
            <w:r>
              <w:rPr>
                <w:sz w:val="24"/>
              </w:rPr>
              <w:t xml:space="preserve">&lt;2&gt; - заполняется в случае уменьшения среднесписочной численности работников.</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Новгородской области от 07.07.2025 N 240</w:t>
            <w:br/>
            <w:t>"Об утверждении Порядка выделения работодателем раб...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54&amp;n=114974&amp;date=12.08.2025&amp;dst=100021&amp;field=134" TargetMode = "External"/>
	<Relationship Id="rId8" Type="http://schemas.openxmlformats.org/officeDocument/2006/relationships/hyperlink" Target="www.pravo.gov.ru" TargetMode = "External"/>
	<Relationship Id="rId9" Type="http://schemas.openxmlformats.org/officeDocument/2006/relationships/hyperlink" Target="https://login.consultant.ru/link/?req=doc&amp;base=RLAW154&amp;n=114974&amp;date=12.08.2025&amp;dst=100021&amp;field=134" TargetMode = "External"/>
	<Relationship Id="rId10" Type="http://schemas.openxmlformats.org/officeDocument/2006/relationships/hyperlink" Target="https://login.consultant.ru/link/?req=doc&amp;base=RLAW154&amp;n=114974&amp;date=12.08.2025" TargetMode = "External"/>
	<Relationship Id="rId11" Type="http://schemas.openxmlformats.org/officeDocument/2006/relationships/hyperlink" Target="https://login.consultant.ru/link/?req=doc&amp;base=LAW&amp;n=502632&amp;date=12.08.2025&amp;dst=323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Новгородской области от 07.07.2025 N 240
"Об утверждении Порядка выделения работодателем рабочего места в пределах установленной квоты и выполнения работодателями квоты для приема на работу граждан, завершивших военную службу"</dc:title>
  <dcterms:created xsi:type="dcterms:W3CDTF">2025-08-12T09:25:28Z</dcterms:created>
</cp:coreProperties>
</file>